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0"/>
        <w:gridCol w:w="222"/>
      </w:tblGrid>
      <w:tr w:rsidR="00D30058" w:rsidRPr="003237A4" w14:paraId="3E493FFD" w14:textId="77777777" w:rsidTr="0094427A">
        <w:tc>
          <w:tcPr>
            <w:tcW w:w="9070" w:type="dxa"/>
          </w:tcPr>
          <w:tbl>
            <w:tblPr>
              <w:tblStyle w:val="Tabel-Gitter"/>
              <w:tblW w:w="9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7"/>
            </w:tblGrid>
            <w:tr w:rsidR="0021581C" w:rsidRPr="003237A4" w14:paraId="29E03A72" w14:textId="77777777" w:rsidTr="00193393">
              <w:trPr>
                <w:trHeight w:val="323"/>
              </w:trPr>
              <w:tc>
                <w:tcPr>
                  <w:tcW w:w="4517" w:type="dxa"/>
                </w:tcPr>
                <w:p w14:paraId="5894CB84" w14:textId="77777777" w:rsidR="0021581C" w:rsidRPr="003237A4" w:rsidRDefault="00F77D06" w:rsidP="00640013">
                  <w:pPr>
                    <w:spacing w:line="276" w:lineRule="auto"/>
                    <w:ind w:left="-108"/>
                  </w:pPr>
                  <w:r w:rsidRPr="003237A4">
                    <w:rPr>
                      <w:noProof/>
                    </w:rPr>
                    <w:drawing>
                      <wp:inline distT="0" distB="0" distL="0" distR="0" wp14:anchorId="01E12FAA" wp14:editId="36EE3F7C">
                        <wp:extent cx="1310743" cy="451904"/>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EDSSTYRELSEN_DK_frv.emf"/>
                                <pic:cNvPicPr/>
                              </pic:nvPicPr>
                              <pic:blipFill rotWithShape="1">
                                <a:blip r:embed="rId8" cstate="print">
                                  <a:extLst>
                                    <a:ext uri="{28A0092B-C50C-407E-A947-70E740481C1C}">
                                      <a14:useLocalDpi xmlns:a14="http://schemas.microsoft.com/office/drawing/2010/main" val="0"/>
                                    </a:ext>
                                  </a:extLst>
                                </a:blip>
                                <a:srcRect l="11833" t="25668" r="65331" b="27136"/>
                                <a:stretch/>
                              </pic:blipFill>
                              <pic:spPr bwMode="auto">
                                <a:xfrm>
                                  <a:off x="0" y="0"/>
                                  <a:ext cx="1314575" cy="453225"/>
                                </a:xfrm>
                                <a:prstGeom prst="rect">
                                  <a:avLst/>
                                </a:prstGeom>
                                <a:ln>
                                  <a:noFill/>
                                </a:ln>
                                <a:extLst>
                                  <a:ext uri="{53640926-AAD7-44D8-BBD7-CCE9431645EC}">
                                    <a14:shadowObscured xmlns:a14="http://schemas.microsoft.com/office/drawing/2010/main"/>
                                  </a:ext>
                                </a:extLst>
                              </pic:spPr>
                            </pic:pic>
                          </a:graphicData>
                        </a:graphic>
                      </wp:inline>
                    </w:drawing>
                  </w:r>
                </w:p>
              </w:tc>
              <w:tc>
                <w:tcPr>
                  <w:tcW w:w="4517" w:type="dxa"/>
                </w:tcPr>
                <w:p w14:paraId="5F506284" w14:textId="77777777" w:rsidR="0021581C" w:rsidRPr="003237A4" w:rsidRDefault="0021581C" w:rsidP="00640013">
                  <w:pPr>
                    <w:spacing w:line="276" w:lineRule="auto"/>
                  </w:pPr>
                </w:p>
              </w:tc>
            </w:tr>
            <w:tr w:rsidR="0021581C" w:rsidRPr="003237A4" w14:paraId="7804A7C9" w14:textId="77777777" w:rsidTr="00193393">
              <w:trPr>
                <w:trHeight w:val="323"/>
              </w:trPr>
              <w:tc>
                <w:tcPr>
                  <w:tcW w:w="4517" w:type="dxa"/>
                </w:tcPr>
                <w:p w14:paraId="1A2EEEC0" w14:textId="06ADEC3F" w:rsidR="00922F01" w:rsidRPr="003237A4" w:rsidRDefault="0021581C" w:rsidP="00640013">
                  <w:pPr>
                    <w:spacing w:line="276" w:lineRule="auto"/>
                    <w:ind w:left="-108"/>
                  </w:pPr>
                  <w:r w:rsidRPr="003237A4">
                    <w:t xml:space="preserve">Dato </w:t>
                  </w:r>
                  <w:sdt>
                    <w:sdtPr>
                      <w:alias w:val="(Dokumenter) Brevdato"/>
                      <w:tag w:val="(Dokumenter) Brevdato"/>
                      <w:id w:val="-434449678"/>
                      <w:dataBinding w:prefixMappings="xmlns:ns0='Captia'" w:xpath="/ns0:Root[1]/ns0:record/ns0:Content[@id='letter_date']/ns0:Value[1]" w:storeItemID="{F6952FF0-A6FB-4105-974B-452694F4556A}"/>
                      <w:date w:fullDate="2021-09-02T00:00:00Z">
                        <w:dateFormat w:val="dd-MM-yyyy"/>
                        <w:lid w:val="da-DK"/>
                        <w:storeMappedDataAs w:val="dateTime"/>
                        <w:calendar w:val="gregorian"/>
                      </w:date>
                    </w:sdtPr>
                    <w:sdtEndPr/>
                    <w:sdtContent>
                      <w:r w:rsidR="00E47602">
                        <w:t>02-09</w:t>
                      </w:r>
                      <w:r w:rsidR="003B4D91">
                        <w:t>-2021</w:t>
                      </w:r>
                    </w:sdtContent>
                  </w:sdt>
                </w:p>
                <w:p w14:paraId="1589EC3B" w14:textId="77777777" w:rsidR="0021581C" w:rsidRPr="003237A4" w:rsidRDefault="00922F01" w:rsidP="00640013">
                  <w:pPr>
                    <w:spacing w:line="276" w:lineRule="auto"/>
                    <w:ind w:left="-108"/>
                  </w:pPr>
                  <w:r w:rsidRPr="003237A4">
                    <w:t xml:space="preserve"> </w:t>
                  </w:r>
                </w:p>
              </w:tc>
              <w:sdt>
                <w:sdtPr>
                  <w:alias w:val="(Dokumentets sagsbehandler) Adressatkode"/>
                  <w:id w:val="-295919913"/>
                  <w:dataBinding w:prefixMappings="xmlns:ns0='Captia'" w:xpath="/ns0:Root[1]/ns0:record/ns0:officer/ns0:Content[@id='name_code']/ns0:Value[1]" w:storeItemID="{00000000-0000-0000-0000-000000000000}"/>
                  <w:text/>
                </w:sdtPr>
                <w:sdtEndPr/>
                <w:sdtContent>
                  <w:tc>
                    <w:tcPr>
                      <w:tcW w:w="4517" w:type="dxa"/>
                    </w:tcPr>
                    <w:p w14:paraId="67385AEA" w14:textId="36098E48" w:rsidR="0021581C" w:rsidRPr="00181232" w:rsidRDefault="003B4D91" w:rsidP="008E604C">
                      <w:pPr>
                        <w:spacing w:line="276" w:lineRule="auto"/>
                        <w:ind w:left="-230"/>
                        <w:jc w:val="right"/>
                      </w:pPr>
                      <w:proofErr w:type="spellStart"/>
                      <w:r>
                        <w:t>rahp</w:t>
                      </w:r>
                      <w:proofErr w:type="spellEnd"/>
                    </w:p>
                  </w:tc>
                </w:sdtContent>
              </w:sdt>
            </w:tr>
            <w:tr w:rsidR="0021581C" w:rsidRPr="003237A4" w14:paraId="1D2E9172" w14:textId="77777777" w:rsidTr="00193393">
              <w:trPr>
                <w:trHeight w:val="341"/>
              </w:trPr>
              <w:tc>
                <w:tcPr>
                  <w:tcW w:w="4517" w:type="dxa"/>
                </w:tcPr>
                <w:p w14:paraId="65A5AF9F" w14:textId="4C05ED33" w:rsidR="0021581C" w:rsidRPr="003237A4" w:rsidRDefault="0021581C" w:rsidP="003B4D91">
                  <w:pPr>
                    <w:spacing w:line="276" w:lineRule="auto"/>
                    <w:ind w:left="-108"/>
                  </w:pPr>
                  <w:r w:rsidRPr="003237A4">
                    <w:t xml:space="preserve">Sagsnr. </w:t>
                  </w:r>
                  <w:sdt>
                    <w:sdtPr>
                      <w:alias w:val="(Sager) Sagsnr."/>
                      <w:id w:val="-465974376"/>
                      <w:dataBinding w:prefixMappings="xmlns:ns0='Captia'" w:xpath="/ns0:Root[1]/ns0:case/ns0:Content[@id='file_no']/ns0:Value[1]" w:storeItemID="{F6952FF0-A6FB-4105-974B-452694F4556A}"/>
                      <w:text/>
                    </w:sdtPr>
                    <w:sdtEndPr/>
                    <w:sdtContent>
                      <w:r w:rsidR="002704C6">
                        <w:t>07-1002-159</w:t>
                      </w:r>
                    </w:sdtContent>
                  </w:sdt>
                </w:p>
              </w:tc>
              <w:tc>
                <w:tcPr>
                  <w:tcW w:w="4517" w:type="dxa"/>
                </w:tcPr>
                <w:p w14:paraId="204F4C4B" w14:textId="70D0EB00" w:rsidR="0021581C" w:rsidRPr="00181232" w:rsidRDefault="00FE6279" w:rsidP="00695ED2">
                  <w:pPr>
                    <w:spacing w:line="276" w:lineRule="auto"/>
                    <w:jc w:val="right"/>
                  </w:pPr>
                  <w:sdt>
                    <w:sdtPr>
                      <w:alias w:val="(Dokumentets sagsbehandler) Tlfnr."/>
                      <w:id w:val="568917985"/>
                      <w:dataBinding w:prefixMappings="xmlns:ns0='Captia'" w:xpath="/ns0:Root[1]/ns0:record/ns0:officer/ns0:Content[@id='address_main:phone_no']/ns0:Value[1]" w:storeItemID="{F6952FF0-A6FB-4105-974B-452694F4556A}"/>
                      <w:text/>
                    </w:sdtPr>
                    <w:sdtEndPr/>
                    <w:sdtContent>
                      <w:r w:rsidR="003B4D91">
                        <w:t>rahp</w:t>
                      </w:r>
                      <w:r w:rsidR="008E604C">
                        <w:t>@sst.dk</w:t>
                      </w:r>
                    </w:sdtContent>
                  </w:sdt>
                </w:p>
              </w:tc>
            </w:tr>
          </w:tbl>
          <w:p w14:paraId="1E8E7EBC" w14:textId="77777777" w:rsidR="00D30058" w:rsidRPr="003237A4" w:rsidRDefault="00D30058" w:rsidP="00640013">
            <w:pPr>
              <w:spacing w:line="276" w:lineRule="auto"/>
            </w:pPr>
          </w:p>
        </w:tc>
        <w:tc>
          <w:tcPr>
            <w:tcW w:w="222" w:type="dxa"/>
            <w:vAlign w:val="bottom"/>
          </w:tcPr>
          <w:p w14:paraId="5BA0AE3D" w14:textId="77777777" w:rsidR="00F84647" w:rsidRPr="003237A4" w:rsidRDefault="00F84647" w:rsidP="00640013">
            <w:pPr>
              <w:spacing w:line="276" w:lineRule="auto"/>
              <w:jc w:val="right"/>
            </w:pPr>
          </w:p>
        </w:tc>
      </w:tr>
    </w:tbl>
    <w:p w14:paraId="1B28A0FB" w14:textId="77777777" w:rsidR="00D30058" w:rsidRDefault="00D30058" w:rsidP="00640013">
      <w:pPr>
        <w:spacing w:line="276" w:lineRule="auto"/>
        <w:sectPr w:rsidR="00D30058" w:rsidSect="00BE7729">
          <w:headerReference w:type="default" r:id="rId9"/>
          <w:headerReference w:type="first" r:id="rId10"/>
          <w:footerReference w:type="first" r:id="rId11"/>
          <w:pgSz w:w="11906" w:h="16838"/>
          <w:pgMar w:top="680" w:right="1418" w:bottom="1701" w:left="1418" w:header="709" w:footer="709" w:gutter="0"/>
          <w:cols w:space="708"/>
          <w:docGrid w:linePitch="360"/>
        </w:sectPr>
      </w:pPr>
    </w:p>
    <w:p w14:paraId="00B48F62" w14:textId="77777777" w:rsidR="00F84647" w:rsidRDefault="00F84647" w:rsidP="00640013">
      <w:pPr>
        <w:spacing w:line="276" w:lineRule="auto"/>
      </w:pPr>
    </w:p>
    <w:sdt>
      <w:sdtPr>
        <w:rPr>
          <w:b/>
          <w:color w:val="000000" w:themeColor="text1"/>
          <w:sz w:val="30"/>
          <w:szCs w:val="30"/>
        </w:rPr>
        <w:alias w:val="(Dokument) Titel"/>
        <w:id w:val="-362291256"/>
        <w:dataBinding w:prefixMappings="xmlns:ns0='Captia'" w:xpath="/ns0:Root[1]/ns0:record/ns0:Content[@id='title']/ns0:Value[1]" w:storeItemID="{00000000-0000-0000-0000-000000000000}"/>
        <w:text/>
      </w:sdtPr>
      <w:sdtEndPr>
        <w:rPr>
          <w:b w:val="0"/>
        </w:rPr>
      </w:sdtEndPr>
      <w:sdtContent>
        <w:p w14:paraId="29ED600B" w14:textId="3110CC49" w:rsidR="00F84647" w:rsidRPr="002F3CBD" w:rsidRDefault="003B4D91" w:rsidP="00640013">
          <w:pPr>
            <w:spacing w:line="276" w:lineRule="auto"/>
            <w:rPr>
              <w:color w:val="000000" w:themeColor="text1"/>
              <w:sz w:val="30"/>
              <w:szCs w:val="30"/>
            </w:rPr>
          </w:pPr>
          <w:r w:rsidRPr="002F3CBD">
            <w:rPr>
              <w:b/>
              <w:color w:val="000000" w:themeColor="text1"/>
              <w:sz w:val="30"/>
              <w:szCs w:val="30"/>
            </w:rPr>
            <w:t xml:space="preserve">Puljeopslag: </w:t>
          </w:r>
          <w:r>
            <w:rPr>
              <w:b/>
              <w:color w:val="000000" w:themeColor="text1"/>
              <w:sz w:val="30"/>
              <w:szCs w:val="30"/>
            </w:rPr>
            <w:t>Pulje til praksisnært kompetenceløft til nedbringelse af antipsykotisk medicin</w:t>
          </w:r>
        </w:p>
      </w:sdtContent>
    </w:sdt>
    <w:p w14:paraId="613AF589" w14:textId="7D071C62" w:rsidR="0084247F" w:rsidRDefault="0084247F" w:rsidP="0084247F">
      <w:pPr>
        <w:spacing w:line="276" w:lineRule="auto"/>
      </w:pPr>
    </w:p>
    <w:p w14:paraId="2AF68B10" w14:textId="242D604D" w:rsidR="003B4D91" w:rsidRDefault="003B4D91" w:rsidP="003B4D91">
      <w:r w:rsidRPr="00340C3C">
        <w:t>Sundhedsstyrelsen inviterer hermed kommuner, regioner, almen praksis, private leverandører m.fl. til at ansøge om puljemidler til at gennemføre praksisnært kompetenceløft til nedbringelse af antipsykotisk medicin hos mennesker med demens.</w:t>
      </w:r>
    </w:p>
    <w:p w14:paraId="7BD41DAB" w14:textId="5585D5B4" w:rsidR="003B4D91" w:rsidRDefault="003B4D91" w:rsidP="003B4D91"/>
    <w:p w14:paraId="73CFC576" w14:textId="31F35430" w:rsidR="00CA5586" w:rsidRPr="009D2978" w:rsidRDefault="009D2978" w:rsidP="005E5FC1">
      <w:r w:rsidRPr="00340C3C">
        <w:t>I satspuljeaftalen for 2016-2019 blev regeringen og satspuljepartierne enige om at afsætte 470 mio. kr. til udmøntning af 23 konkrete initiativer på baggrund af en ny national demenshandlingsplan 2025.</w:t>
      </w:r>
      <w:r w:rsidRPr="00340C3C">
        <w:rPr>
          <w:color w:val="1F497D"/>
        </w:rPr>
        <w:t xml:space="preserve"> </w:t>
      </w:r>
      <w:r w:rsidR="00CA5586">
        <w:t>Et af de</w:t>
      </w:r>
      <w:r w:rsidRPr="00340C3C">
        <w:t xml:space="preserve"> tre nationale mål for demensindsatsen frem mod 2025</w:t>
      </w:r>
      <w:r w:rsidR="00CA5586">
        <w:t xml:space="preserve"> var e</w:t>
      </w:r>
      <w:r w:rsidRPr="00340C3C">
        <w:t>n forbedret pleje- og behandlingsindsats</w:t>
      </w:r>
      <w:r w:rsidR="00CA5586">
        <w:t>, der</w:t>
      </w:r>
      <w:r w:rsidRPr="00340C3C">
        <w:t xml:space="preserve"> skal nedbringe forbruget af antipsykotisk medicin blandt mennesker med demens med 50 procent frem mod år 2025.</w:t>
      </w:r>
      <w:r w:rsidR="00CA5586">
        <w:br/>
      </w:r>
    </w:p>
    <w:p w14:paraId="63E5AB01" w14:textId="6B63AE1B" w:rsidR="003B4D91" w:rsidRPr="00340C3C" w:rsidRDefault="003B4D91" w:rsidP="003B4D91">
      <w:r w:rsidRPr="00340C3C">
        <w:t>I aftale</w:t>
      </w:r>
      <w:r w:rsidR="005E5FC1">
        <w:t>n</w:t>
      </w:r>
      <w:r w:rsidRPr="00340C3C">
        <w:t xml:space="preserve"> om udmøntning af reserven til foranstaltninger på social-, sundheds</w:t>
      </w:r>
      <w:r>
        <w:t>-</w:t>
      </w:r>
      <w:r w:rsidRPr="00340C3C">
        <w:t xml:space="preserve"> og arbejdsmarkedsområdet 2020-2023 blev der gennemfør</w:t>
      </w:r>
      <w:r w:rsidR="006706DB">
        <w:t>t</w:t>
      </w:r>
      <w:r w:rsidRPr="00340C3C">
        <w:t xml:space="preserve"> en opfølgning på demenshandlingsplanen 2025. I den forbindelse blev der afsat </w:t>
      </w:r>
      <w:r w:rsidR="00E10835">
        <w:t>23,6</w:t>
      </w:r>
      <w:r w:rsidR="00E10835" w:rsidRPr="00340C3C">
        <w:t xml:space="preserve"> </w:t>
      </w:r>
      <w:r w:rsidRPr="00340C3C">
        <w:t xml:space="preserve">mio. kr. til en pulje til praksisnært kompetenceløft til nedbringelse af antipsykotisk medicin. Puljeperioden er på </w:t>
      </w:r>
      <w:r w:rsidR="00A00C57">
        <w:t>18 måneder</w:t>
      </w:r>
      <w:r w:rsidRPr="00340C3C">
        <w:t xml:space="preserve">. </w:t>
      </w:r>
      <w:r>
        <w:t xml:space="preserve">Det samlede beløb tildeles i én ansøgningsrunde. </w:t>
      </w:r>
      <w:r w:rsidRPr="00340C3C">
        <w:t xml:space="preserve"> </w:t>
      </w:r>
    </w:p>
    <w:p w14:paraId="5A061365" w14:textId="77777777" w:rsidR="003B4D91" w:rsidRDefault="003B4D91" w:rsidP="003B4D91"/>
    <w:p w14:paraId="3622FF2E" w14:textId="6E363889" w:rsidR="003B4D91" w:rsidRDefault="003B4D91" w:rsidP="003B4D91">
      <w:r>
        <w:t xml:space="preserve">Ansøgninger skal være modtaget af Sundhedsstyrelsen senest </w:t>
      </w:r>
      <w:r w:rsidR="00E47602">
        <w:t xml:space="preserve">den 5. november 2021 </w:t>
      </w:r>
      <w:r>
        <w:t>kl. 12.00.</w:t>
      </w:r>
    </w:p>
    <w:p w14:paraId="20A01999" w14:textId="77777777" w:rsidR="003B4D91" w:rsidRPr="00340C3C" w:rsidRDefault="003B4D91" w:rsidP="003B4D91"/>
    <w:p w14:paraId="3902C08C" w14:textId="77777777" w:rsidR="003B4D91" w:rsidRPr="00340C3C" w:rsidRDefault="003B4D91" w:rsidP="003B4D91">
      <w:pPr>
        <w:rPr>
          <w:b/>
          <w:sz w:val="26"/>
          <w:szCs w:val="26"/>
        </w:rPr>
      </w:pPr>
      <w:r w:rsidRPr="00340C3C">
        <w:rPr>
          <w:b/>
          <w:sz w:val="26"/>
          <w:szCs w:val="26"/>
        </w:rPr>
        <w:t>Formål</w:t>
      </w:r>
    </w:p>
    <w:p w14:paraId="39A19D04" w14:textId="429E3602" w:rsidR="003B4D91" w:rsidRDefault="003B4D91" w:rsidP="003B4D91">
      <w:r w:rsidRPr="00340C3C">
        <w:t xml:space="preserve">Puljen skal understøtte kompetenceudvikling på demensområdet med fokus på at nedbringe forbruget af antipsykotisk medicin til mennesker med demenssygdom. Puljen vil som tidligere pulje til </w:t>
      </w:r>
      <w:r w:rsidR="005E5FC1">
        <w:t xml:space="preserve">praksisnært </w:t>
      </w:r>
      <w:r w:rsidRPr="00340C3C">
        <w:t>kompetenceløft tage udgangspunkt i forankring af viden og kompetencer i praksis</w:t>
      </w:r>
      <w:r w:rsidR="009D6EC1">
        <w:t>.</w:t>
      </w:r>
      <w:r w:rsidR="009D6EC1" w:rsidRPr="00340C3C" w:rsidDel="009D6EC1">
        <w:t xml:space="preserve"> </w:t>
      </w:r>
    </w:p>
    <w:p w14:paraId="7965B433" w14:textId="03A8EA9B" w:rsidR="009D6EC1" w:rsidRDefault="009D6EC1" w:rsidP="003B4D91"/>
    <w:p w14:paraId="023CE599" w14:textId="4035DD8A" w:rsidR="009D6EC1" w:rsidRPr="00340C3C" w:rsidRDefault="008E75E6" w:rsidP="009D6EC1">
      <w:r>
        <w:t>Med p</w:t>
      </w:r>
      <w:r w:rsidR="009D6EC1" w:rsidRPr="00340C3C">
        <w:t xml:space="preserve">raksisnær kompetenceudvikling </w:t>
      </w:r>
      <w:r>
        <w:t>menes</w:t>
      </w:r>
      <w:r w:rsidR="009D6EC1" w:rsidRPr="00340C3C">
        <w:t>, at</w:t>
      </w:r>
      <w:r w:rsidR="009D6EC1">
        <w:t xml:space="preserve"> både</w:t>
      </w:r>
      <w:r w:rsidR="009D6EC1" w:rsidRPr="00340C3C">
        <w:t xml:space="preserve"> </w:t>
      </w:r>
      <w:r w:rsidR="009D6EC1">
        <w:t xml:space="preserve">ledere og </w:t>
      </w:r>
      <w:r w:rsidR="009D6EC1" w:rsidRPr="00340C3C">
        <w:t xml:space="preserve">medarbejdere kan anvende viden </w:t>
      </w:r>
      <w:r w:rsidR="009D6EC1">
        <w:t>i</w:t>
      </w:r>
      <w:r w:rsidR="009D6EC1" w:rsidRPr="00340C3C">
        <w:t xml:space="preserve"> praksis </w:t>
      </w:r>
      <w:r w:rsidR="009D6EC1">
        <w:t>så</w:t>
      </w:r>
      <w:r w:rsidR="009D6EC1" w:rsidRPr="00340C3C">
        <w:t xml:space="preserve"> den nye viden bliver omsat i de daglige arbejdsgange</w:t>
      </w:r>
      <w:r>
        <w:t>. K</w:t>
      </w:r>
      <w:r w:rsidR="009D6EC1" w:rsidRPr="00340C3C">
        <w:t xml:space="preserve">ompetenceudviklingen bliver </w:t>
      </w:r>
      <w:r>
        <w:t xml:space="preserve">dermed </w:t>
      </w:r>
      <w:r w:rsidR="009D6EC1" w:rsidRPr="00340C3C">
        <w:t>meningsfuld for den enkelte i forhold til det daglige arbejde</w:t>
      </w:r>
      <w:r w:rsidR="009D6EC1">
        <w:t>.</w:t>
      </w:r>
      <w:r w:rsidR="00E11BA9">
        <w:t xml:space="preserve"> </w:t>
      </w:r>
      <w:r w:rsidR="009D6EC1">
        <w:t xml:space="preserve">Mulige metoder til at understøtte </w:t>
      </w:r>
      <w:r w:rsidR="009D6EC1" w:rsidRPr="00340C3C">
        <w:t>et praksisnært kompetenceudviklingsforløb er</w:t>
      </w:r>
      <w:r w:rsidR="009D6EC1">
        <w:t xml:space="preserve"> fx</w:t>
      </w:r>
      <w:r w:rsidR="009D6EC1" w:rsidRPr="00340C3C">
        <w:t xml:space="preserve"> transfer, aktionslæring, </w:t>
      </w:r>
      <w:r w:rsidR="00FA3FC2" w:rsidRPr="00340C3C">
        <w:t>organisato</w:t>
      </w:r>
      <w:r w:rsidR="00FA3FC2">
        <w:t xml:space="preserve">risk </w:t>
      </w:r>
      <w:r w:rsidR="009D6EC1" w:rsidRPr="00340C3C">
        <w:t>læring og fokus på faglig ledelse.</w:t>
      </w:r>
    </w:p>
    <w:p w14:paraId="08117A59" w14:textId="77777777" w:rsidR="003B4D91" w:rsidRPr="00340C3C" w:rsidRDefault="003B4D91" w:rsidP="003B4D91"/>
    <w:p w14:paraId="218F5E48" w14:textId="77544C0D" w:rsidR="003B4D91" w:rsidRPr="00340C3C" w:rsidRDefault="003B4D91" w:rsidP="003B4D91">
      <w:r w:rsidRPr="00340C3C">
        <w:t xml:space="preserve">Kompetenceudviklingens overordnede mål er at </w:t>
      </w:r>
      <w:r>
        <w:t xml:space="preserve">understøtte behandling, pleje og omsorg i hverdagen, der </w:t>
      </w:r>
      <w:r w:rsidR="004A1598">
        <w:t>har fokus på</w:t>
      </w:r>
      <w:r w:rsidR="005E5FC1">
        <w:t xml:space="preserve"> at</w:t>
      </w:r>
      <w:r>
        <w:t xml:space="preserve"> nedbringe</w:t>
      </w:r>
      <w:r w:rsidRPr="00340C3C">
        <w:t xml:space="preserve"> forbruget af antipsykotisk medicin til borgere med demens. Forbrug af antipsykotisk medicin hos borgere med demens kan nedsættes, når personalet besidder den nødvendige faglighed, som giver mulighed for dels at forstå borgernes adfærd</w:t>
      </w:r>
      <w:r>
        <w:t xml:space="preserve"> og medicinens virkning</w:t>
      </w:r>
      <w:r w:rsidRPr="00340C3C">
        <w:t xml:space="preserve">, og som følge deraf kan sætte ind med andre </w:t>
      </w:r>
      <w:r w:rsidRPr="00340C3C">
        <w:lastRenderedPageBreak/>
        <w:t>handlinger og tiltag, end antipsykotisk medicin</w:t>
      </w:r>
      <w:r w:rsidRPr="00340C3C">
        <w:rPr>
          <w:rStyle w:val="Fodnotehenvisning"/>
        </w:rPr>
        <w:footnoteReference w:id="1"/>
      </w:r>
      <w:r>
        <w:t xml:space="preserve"> </w:t>
      </w:r>
      <w:r>
        <w:rPr>
          <w:rStyle w:val="Fodnotehenvisning"/>
        </w:rPr>
        <w:footnoteReference w:id="2"/>
      </w:r>
      <w:r>
        <w:t xml:space="preserve"> </w:t>
      </w:r>
      <w:r w:rsidRPr="00340C3C">
        <w:t xml:space="preserve">. Samarbejde på tværs af de faggrupper som udskriver medicin; praktiserende læger, ældrepsykiatri m.fl. er </w:t>
      </w:r>
      <w:r>
        <w:t>derudover vigtigt</w:t>
      </w:r>
      <w:r w:rsidRPr="00340C3C">
        <w:t xml:space="preserve"> i forbindelse med at nedbringe forbruget af antipsykotisk medicin</w:t>
      </w:r>
      <w:r w:rsidR="00CA5586">
        <w:t xml:space="preserve">, og kan derfor indgå </w:t>
      </w:r>
      <w:r w:rsidR="004A1598">
        <w:t xml:space="preserve">i </w:t>
      </w:r>
      <w:r w:rsidR="00CA5586">
        <w:t>kompetenceløftet</w:t>
      </w:r>
      <w:r w:rsidRPr="00340C3C">
        <w:t>.</w:t>
      </w:r>
    </w:p>
    <w:p w14:paraId="1420C19B" w14:textId="77777777" w:rsidR="003B4D91" w:rsidRDefault="003B4D91" w:rsidP="003B4D91"/>
    <w:p w14:paraId="1E3EE8CD" w14:textId="4A9449DB" w:rsidR="005E5FC1" w:rsidRPr="00340C3C" w:rsidRDefault="003B4D91" w:rsidP="003B4D91">
      <w:pPr>
        <w:rPr>
          <w:i/>
        </w:rPr>
      </w:pPr>
      <w:r>
        <w:t xml:space="preserve">I puljen kan der søges om midler til både </w:t>
      </w:r>
      <w:r w:rsidRPr="00340C3C">
        <w:t xml:space="preserve">praksisnær læring på alle niveauer i pleje- og behandlingsindsatsen, </w:t>
      </w:r>
      <w:r>
        <w:t>samt</w:t>
      </w:r>
      <w:r w:rsidRPr="00340C3C">
        <w:t xml:space="preserve"> formel kompetencegivende efter- og videreuddannelse. </w:t>
      </w:r>
      <w:r w:rsidR="004A1598">
        <w:t xml:space="preserve">Indsatsen </w:t>
      </w:r>
      <w:r w:rsidRPr="00340C3C">
        <w:t>skal medvirke til</w:t>
      </w:r>
      <w:r>
        <w:t>,</w:t>
      </w:r>
      <w:r w:rsidRPr="00340C3C">
        <w:t xml:space="preserve"> at forbruget af antipsykotisk medicin nedsættes</w:t>
      </w:r>
      <w:r w:rsidR="004A1598">
        <w:t xml:space="preserve"> og </w:t>
      </w:r>
      <w:r w:rsidRPr="00340C3C">
        <w:t>at mennesker med demens får den bedst mulige behandling og pleje samt øget livskvalitet</w:t>
      </w:r>
      <w:r>
        <w:t xml:space="preserve"> og selvbestemmelse</w:t>
      </w:r>
      <w:r w:rsidRPr="00340C3C">
        <w:t>.</w:t>
      </w:r>
      <w:r>
        <w:br/>
      </w:r>
    </w:p>
    <w:p w14:paraId="71A2F48E" w14:textId="77777777" w:rsidR="003B4D91" w:rsidRPr="00340C3C" w:rsidRDefault="003B4D91" w:rsidP="003B4D91">
      <w:pPr>
        <w:rPr>
          <w:b/>
          <w:sz w:val="26"/>
          <w:szCs w:val="26"/>
        </w:rPr>
      </w:pPr>
      <w:r w:rsidRPr="00340C3C">
        <w:rPr>
          <w:b/>
          <w:sz w:val="26"/>
          <w:szCs w:val="26"/>
        </w:rPr>
        <w:t xml:space="preserve">Baggrund </w:t>
      </w:r>
    </w:p>
    <w:p w14:paraId="4EF8D02B" w14:textId="0721EEB6" w:rsidR="003B4D91" w:rsidRPr="00E11BA9" w:rsidRDefault="005E5FC1" w:rsidP="00AA66CB">
      <w:pPr>
        <w:tabs>
          <w:tab w:val="left" w:pos="6180"/>
        </w:tabs>
        <w:contextualSpacing/>
      </w:pPr>
      <w:r>
        <w:t>Med</w:t>
      </w:r>
      <w:r w:rsidR="003B4D91" w:rsidRPr="00340C3C">
        <w:t xml:space="preserve"> satspuljeaftalen for 2016-2019 blev </w:t>
      </w:r>
      <w:r>
        <w:t>der afsat</w:t>
      </w:r>
      <w:r w:rsidR="003B4D91" w:rsidRPr="00340C3C">
        <w:t xml:space="preserve"> 470 mio. kr. til udmøntning af 23 konkrete initiativer på baggrund af demenshandlingsplan</w:t>
      </w:r>
      <w:r>
        <w:t>en</w:t>
      </w:r>
      <w:r w:rsidR="003B4D91" w:rsidRPr="00340C3C">
        <w:t xml:space="preserve"> 2025.</w:t>
      </w:r>
      <w:r w:rsidR="003B4D91" w:rsidRPr="00E11BA9">
        <w:rPr>
          <w:color w:val="1F497D"/>
        </w:rPr>
        <w:t xml:space="preserve"> </w:t>
      </w:r>
      <w:r w:rsidRPr="00E11BA9">
        <w:rPr>
          <w:color w:val="1F497D"/>
        </w:rPr>
        <w:t xml:space="preserve"> </w:t>
      </w:r>
    </w:p>
    <w:p w14:paraId="5C6CDE14" w14:textId="77777777" w:rsidR="005E5FC1" w:rsidRPr="005E5FC1" w:rsidRDefault="005E5FC1" w:rsidP="005E5FC1">
      <w:pPr>
        <w:tabs>
          <w:tab w:val="left" w:pos="6180"/>
        </w:tabs>
        <w:contextualSpacing/>
      </w:pPr>
    </w:p>
    <w:p w14:paraId="3A56D4DF" w14:textId="32B2154C" w:rsidR="003B4D91" w:rsidRPr="009C1EF7" w:rsidRDefault="003B4D91" w:rsidP="003B4D91">
      <w:pPr>
        <w:pStyle w:val="Default"/>
      </w:pPr>
      <w:r>
        <w:rPr>
          <w:rFonts w:cstheme="minorBidi"/>
          <w:color w:val="auto"/>
        </w:rPr>
        <w:t>Et af de 23 initiativer var ”Praksisnært kompe</w:t>
      </w:r>
      <w:r w:rsidRPr="00CA0635">
        <w:rPr>
          <w:rFonts w:cstheme="minorBidi"/>
          <w:color w:val="auto"/>
        </w:rPr>
        <w:t>tenceløft i kommuner og regioner</w:t>
      </w:r>
      <w:r>
        <w:rPr>
          <w:rFonts w:cstheme="minorBidi"/>
          <w:color w:val="auto"/>
        </w:rPr>
        <w:t>”</w:t>
      </w:r>
      <w:r w:rsidRPr="00CA0635">
        <w:rPr>
          <w:rFonts w:cstheme="minorBidi"/>
          <w:color w:val="auto"/>
        </w:rPr>
        <w:t xml:space="preserve">. Formålet med </w:t>
      </w:r>
      <w:r>
        <w:rPr>
          <w:rFonts w:cstheme="minorBidi"/>
          <w:color w:val="auto"/>
        </w:rPr>
        <w:t xml:space="preserve">initiativet </w:t>
      </w:r>
      <w:r w:rsidRPr="00CA0635">
        <w:rPr>
          <w:rFonts w:cstheme="minorBidi"/>
          <w:color w:val="auto"/>
        </w:rPr>
        <w:t>var dels at understøtte kompetenceløft i kommuner og regi</w:t>
      </w:r>
      <w:r>
        <w:rPr>
          <w:rFonts w:cstheme="minorBidi"/>
          <w:color w:val="auto"/>
        </w:rPr>
        <w:t>oner, dels at sikre kompeten</w:t>
      </w:r>
      <w:r w:rsidRPr="00CA0635">
        <w:rPr>
          <w:rFonts w:cstheme="minorBidi"/>
          <w:color w:val="auto"/>
        </w:rPr>
        <w:t>ceudvikling p</w:t>
      </w:r>
      <w:r>
        <w:rPr>
          <w:rFonts w:cstheme="minorBidi"/>
          <w:color w:val="auto"/>
        </w:rPr>
        <w:t>å demensområdet med fokus på an</w:t>
      </w:r>
      <w:r w:rsidRPr="00CA0635">
        <w:rPr>
          <w:rFonts w:cstheme="minorBidi"/>
          <w:color w:val="auto"/>
        </w:rPr>
        <w:t xml:space="preserve">vendelse og forankring af viden og kompetencer i praksis. </w:t>
      </w:r>
      <w:r w:rsidRPr="009C1EF7">
        <w:t>Initiativet blev udmøntet i en pulje, som udgjorde i alt 145 mio. kroner og løb over knap 3 år (2017-2019) med to ansøgningsrunder, hhv. i 2017 og 2018.</w:t>
      </w:r>
    </w:p>
    <w:p w14:paraId="303131ED" w14:textId="77777777" w:rsidR="003B4D91" w:rsidRDefault="003B4D91" w:rsidP="003B4D91"/>
    <w:p w14:paraId="006C8575" w14:textId="4A2C1CB9" w:rsidR="003B4D91" w:rsidRPr="00C02E97" w:rsidRDefault="003B4D91" w:rsidP="00411C2D">
      <w:r w:rsidRPr="00340C3C">
        <w:t xml:space="preserve">I aftale om udmøntning af reserven til foranstaltninger på social-, sundheds og arbejdsmarkedsområdet 2020-2023 konkluderede aftaleparterne, at demenshandlingsplanen har bidraget til en positiv udvikling på området </w:t>
      </w:r>
      <w:r w:rsidR="00C02E97">
        <w:t xml:space="preserve">og der </w:t>
      </w:r>
      <w:r w:rsidR="008E75E6">
        <w:t xml:space="preserve">fortsat </w:t>
      </w:r>
      <w:r w:rsidR="00C02E97">
        <w:t xml:space="preserve">er </w:t>
      </w:r>
      <w:r w:rsidRPr="00340C3C">
        <w:t xml:space="preserve">behov for at understøtte </w:t>
      </w:r>
      <w:r w:rsidR="008E75E6">
        <w:t>udvalgte</w:t>
      </w:r>
      <w:r w:rsidR="008E75E6" w:rsidRPr="00340C3C">
        <w:t xml:space="preserve"> </w:t>
      </w:r>
      <w:r w:rsidRPr="00340C3C">
        <w:t xml:space="preserve">indsatser i demenshandlingsplanen for at nå målene. </w:t>
      </w:r>
      <w:r w:rsidR="00C02E97">
        <w:t>Herunder målet om at n</w:t>
      </w:r>
      <w:r w:rsidRPr="00C02E97">
        <w:t>edbringe forbruget af antipsykotisk medicin</w:t>
      </w:r>
      <w:r w:rsidR="00C02E97">
        <w:t xml:space="preserve"> hos mennesker med demens. </w:t>
      </w:r>
    </w:p>
    <w:p w14:paraId="5E489645" w14:textId="77777777" w:rsidR="003B4D91" w:rsidRPr="00340C3C" w:rsidRDefault="003B4D91" w:rsidP="003B4D91"/>
    <w:p w14:paraId="21B9BAD3" w14:textId="77777777" w:rsidR="003B4D91" w:rsidRPr="00340C3C" w:rsidRDefault="003B4D91" w:rsidP="003B4D91">
      <w:r w:rsidRPr="00340C3C">
        <w:t>I aftalen blev der tildelt midler til 12 konkrete projekter, hvor særligt tre havde fokus på at nedbringe forbruget af antipsykotisk medicin:</w:t>
      </w:r>
    </w:p>
    <w:p w14:paraId="6D40E2DA" w14:textId="77777777" w:rsidR="003B4D91" w:rsidRPr="00340C3C" w:rsidRDefault="003B4D91" w:rsidP="003B4D91">
      <w:pPr>
        <w:pStyle w:val="Listeafsnit"/>
        <w:numPr>
          <w:ilvl w:val="0"/>
          <w:numId w:val="33"/>
        </w:numPr>
        <w:spacing w:line="240" w:lineRule="auto"/>
        <w:rPr>
          <w:sz w:val="24"/>
          <w:szCs w:val="24"/>
        </w:rPr>
      </w:pPr>
      <w:r w:rsidRPr="00340C3C">
        <w:rPr>
          <w:sz w:val="24"/>
          <w:szCs w:val="24"/>
        </w:rPr>
        <w:t>Monitorerings- og læringsindsatser til nedbringelse af forbruget af antipsykotisk medicin til mennesker med demens samt læringsindsatser ift. smertelindring (4 mio. kr.).</w:t>
      </w:r>
    </w:p>
    <w:p w14:paraId="6D4BB9DB" w14:textId="77777777" w:rsidR="003B4D91" w:rsidRPr="00340C3C" w:rsidRDefault="003B4D91" w:rsidP="003B4D91">
      <w:pPr>
        <w:pStyle w:val="Listeafsnit"/>
        <w:numPr>
          <w:ilvl w:val="0"/>
          <w:numId w:val="33"/>
        </w:numPr>
        <w:spacing w:line="240" w:lineRule="auto"/>
        <w:rPr>
          <w:sz w:val="24"/>
          <w:szCs w:val="24"/>
        </w:rPr>
      </w:pPr>
      <w:r w:rsidRPr="00340C3C">
        <w:rPr>
          <w:sz w:val="24"/>
          <w:szCs w:val="24"/>
        </w:rPr>
        <w:t>Videreførelse af demensrejsehold med særligt fokus på reduktion af forbruget af antipsykotisk medicin til mennesker med demens (20 mio. kr.).</w:t>
      </w:r>
    </w:p>
    <w:p w14:paraId="0D25FFB9" w14:textId="38FC087A" w:rsidR="003B4D91" w:rsidRPr="00340C3C" w:rsidRDefault="003B4D91" w:rsidP="003B4D91">
      <w:pPr>
        <w:pStyle w:val="Listeafsnit"/>
        <w:numPr>
          <w:ilvl w:val="0"/>
          <w:numId w:val="33"/>
        </w:numPr>
        <w:spacing w:line="240" w:lineRule="auto"/>
        <w:rPr>
          <w:sz w:val="24"/>
          <w:szCs w:val="24"/>
        </w:rPr>
      </w:pPr>
      <w:r w:rsidRPr="00340C3C">
        <w:rPr>
          <w:sz w:val="24"/>
          <w:szCs w:val="24"/>
        </w:rPr>
        <w:t>Pulje til praksisnært kompetenceløft til nedbringelse af antipsykotisk medicin (</w:t>
      </w:r>
      <w:r w:rsidR="0084589C">
        <w:rPr>
          <w:sz w:val="24"/>
          <w:szCs w:val="24"/>
        </w:rPr>
        <w:t>23,6</w:t>
      </w:r>
      <w:r w:rsidR="0084589C" w:rsidRPr="00340C3C">
        <w:rPr>
          <w:sz w:val="24"/>
          <w:szCs w:val="24"/>
        </w:rPr>
        <w:t xml:space="preserve"> </w:t>
      </w:r>
      <w:r w:rsidRPr="00340C3C">
        <w:rPr>
          <w:sz w:val="24"/>
          <w:szCs w:val="24"/>
        </w:rPr>
        <w:t>mio. kr.).</w:t>
      </w:r>
    </w:p>
    <w:p w14:paraId="05D004BF" w14:textId="77777777" w:rsidR="003B4D91" w:rsidRPr="00340C3C" w:rsidRDefault="003B4D91" w:rsidP="003B4D91"/>
    <w:p w14:paraId="1852D121" w14:textId="6B2EBA7C" w:rsidR="003B4D91" w:rsidRDefault="003B4D91" w:rsidP="003B4D91">
      <w:r w:rsidRPr="00340C3C">
        <w:t xml:space="preserve">Indeværende pulje er </w:t>
      </w:r>
      <w:r>
        <w:t xml:space="preserve">således </w:t>
      </w:r>
      <w:r w:rsidRPr="00340C3C">
        <w:t>en fortsættelse af den foregående pulje om praksisnært kompetenceløft på demensområdet</w:t>
      </w:r>
      <w:r>
        <w:t>.</w:t>
      </w:r>
      <w:r w:rsidRPr="00340C3C">
        <w:t xml:space="preserve"> </w:t>
      </w:r>
      <w:r>
        <w:t>Puljen</w:t>
      </w:r>
      <w:r w:rsidRPr="00340C3C">
        <w:t xml:space="preserve"> skal understøtte </w:t>
      </w:r>
      <w:r>
        <w:t>kompetence</w:t>
      </w:r>
      <w:r w:rsidR="00C02E97">
        <w:t>udvikling</w:t>
      </w:r>
      <w:r w:rsidRPr="00340C3C">
        <w:t xml:space="preserve"> hos personale på demensområdet, </w:t>
      </w:r>
      <w:r w:rsidR="00C02E97">
        <w:t>med fokus på at</w:t>
      </w:r>
      <w:r w:rsidRPr="00340C3C">
        <w:t xml:space="preserve"> ned</w:t>
      </w:r>
      <w:r w:rsidR="00C02E97">
        <w:t>bringe</w:t>
      </w:r>
      <w:r w:rsidRPr="00340C3C">
        <w:t xml:space="preserve"> forbrug</w:t>
      </w:r>
      <w:r>
        <w:t>et</w:t>
      </w:r>
      <w:r w:rsidRPr="00340C3C">
        <w:t xml:space="preserve"> af antipsykotisk medicin </w:t>
      </w:r>
      <w:r w:rsidR="00C02E97">
        <w:t>til</w:t>
      </w:r>
      <w:r w:rsidRPr="00340C3C">
        <w:t xml:space="preserve"> mennesker med demens.</w:t>
      </w:r>
    </w:p>
    <w:p w14:paraId="007D4E3C" w14:textId="38F4C30D" w:rsidR="00C02E97" w:rsidRDefault="00C02E97" w:rsidP="003B4D91"/>
    <w:p w14:paraId="3C2DAC3D" w14:textId="77777777" w:rsidR="003B4D91" w:rsidRDefault="003B4D91" w:rsidP="003B4D91"/>
    <w:p w14:paraId="3F35846A" w14:textId="77777777" w:rsidR="003B4D91" w:rsidRPr="00180FE0" w:rsidRDefault="003B4D91" w:rsidP="003B4D91">
      <w:r w:rsidRPr="00180FE0">
        <w:rPr>
          <w:i/>
        </w:rPr>
        <w:t>Demens og antipsykotisk medicin</w:t>
      </w:r>
    </w:p>
    <w:p w14:paraId="6E3BBF33" w14:textId="15722C7B" w:rsidR="00171308" w:rsidRDefault="003B4D91" w:rsidP="006506FB">
      <w:pPr>
        <w:tabs>
          <w:tab w:val="clear" w:pos="425"/>
          <w:tab w:val="clear" w:pos="851"/>
          <w:tab w:val="clear" w:pos="1276"/>
          <w:tab w:val="clear" w:pos="1701"/>
        </w:tabs>
      </w:pPr>
      <w:r w:rsidRPr="00340C3C">
        <w:t xml:space="preserve">Mennesker med en demenssygdom viser </w:t>
      </w:r>
      <w:r w:rsidR="00CA5586">
        <w:t>og kommunikere</w:t>
      </w:r>
      <w:r w:rsidR="001A2362">
        <w:t>r</w:t>
      </w:r>
      <w:r w:rsidR="00CA5586">
        <w:t xml:space="preserve">, </w:t>
      </w:r>
      <w:r w:rsidR="00653E90" w:rsidRPr="00340C3C">
        <w:t xml:space="preserve">hvordan de trives </w:t>
      </w:r>
      <w:r w:rsidRPr="00340C3C">
        <w:t>gennem deres adfærd.</w:t>
      </w:r>
      <w:r w:rsidR="00C02E97">
        <w:t xml:space="preserve"> I takt med at demenssyg</w:t>
      </w:r>
      <w:r w:rsidR="00BF6784">
        <w:t xml:space="preserve">dommen udvikler sig, kan borgerens mistrivsel komme til udtryk som adfærdsmæssige og psykiske symptomer. Symptomerne medfører ofte markant </w:t>
      </w:r>
      <w:r w:rsidR="00BF6784">
        <w:lastRenderedPageBreak/>
        <w:t xml:space="preserve">forringet livskvalitet </w:t>
      </w:r>
      <w:r w:rsidR="00171308">
        <w:t>hos</w:t>
      </w:r>
      <w:r w:rsidR="00BF6784">
        <w:t xml:space="preserve"> borgeren og øger kompleksiteten i medarbejdernes omsorgsopgave.</w:t>
      </w:r>
      <w:r w:rsidR="00BF6784" w:rsidRPr="00BF6784">
        <w:rPr>
          <w:rStyle w:val="Fodnotehenvisning"/>
        </w:rPr>
        <w:t xml:space="preserve"> </w:t>
      </w:r>
      <w:r w:rsidR="00BF6784" w:rsidRPr="00340C3C">
        <w:rPr>
          <w:rStyle w:val="Fodnotehenvisning"/>
        </w:rPr>
        <w:footnoteReference w:id="3"/>
      </w:r>
      <w:r w:rsidR="00171308">
        <w:t xml:space="preserve"> I den personcentreret omsorg er kerneopgaven at skabe mest mulig trivsel for det enkelte menneske.</w:t>
      </w:r>
      <w:r w:rsidR="008E75E6" w:rsidRPr="008E75E6">
        <w:t xml:space="preserve"> </w:t>
      </w:r>
      <w:r w:rsidR="008E75E6">
        <w:t xml:space="preserve">Personcentreret omsorg er derfor en metode til at arbejde forebyggende med mistrivsel hos mennesker med demens. </w:t>
      </w:r>
      <w:r w:rsidR="00171308">
        <w:t xml:space="preserve"> </w:t>
      </w:r>
      <w:r w:rsidRPr="00340C3C">
        <w:t>Et af personalets vigtigste redskaber til at skabe mest mulig trivsel for den enkelte borger er at</w:t>
      </w:r>
      <w:r w:rsidR="006706DB">
        <w:t xml:space="preserve"> undersøge og forstå de bagvedliggende årsager til borgerens adfærd samt at</w:t>
      </w:r>
      <w:r w:rsidRPr="00340C3C">
        <w:t xml:space="preserve"> danne gode relationer</w:t>
      </w:r>
      <w:r w:rsidR="00CA5586">
        <w:t>.</w:t>
      </w:r>
      <w:r w:rsidRPr="00340C3C">
        <w:rPr>
          <w:rStyle w:val="Fodnotehenvisning"/>
        </w:rPr>
        <w:footnoteReference w:id="4"/>
      </w:r>
      <w:r w:rsidR="00171308">
        <w:t xml:space="preserve"> </w:t>
      </w:r>
    </w:p>
    <w:p w14:paraId="5821261A" w14:textId="77777777" w:rsidR="00306183" w:rsidRDefault="00306183" w:rsidP="006506FB">
      <w:pPr>
        <w:tabs>
          <w:tab w:val="clear" w:pos="425"/>
          <w:tab w:val="clear" w:pos="851"/>
          <w:tab w:val="clear" w:pos="1276"/>
          <w:tab w:val="clear" w:pos="1701"/>
        </w:tabs>
      </w:pPr>
    </w:p>
    <w:p w14:paraId="52280570" w14:textId="4313A7CC" w:rsidR="00712E21" w:rsidRDefault="00171308" w:rsidP="00712E21">
      <w:r>
        <w:t>At forstå den uforståelige adfærd er en kompleks opgave. Der er oftest flere faktorer i spil, og flere nye handlemuligheder skal afprøves, for at kunne arbejde med borgerens trivsel. Når mennesker med demens viser uforståelig adfærd og virker forpinte, kan andre beboere blive påvirke</w:t>
      </w:r>
      <w:r w:rsidR="008E75E6">
        <w:t>t</w:t>
      </w:r>
      <w:r>
        <w:t xml:space="preserve"> og pårørende kan bede om handling. Dette kan føre</w:t>
      </w:r>
      <w:r w:rsidR="008E75E6">
        <w:t xml:space="preserve"> til</w:t>
      </w:r>
      <w:r>
        <w:t xml:space="preserve"> at personalet bliver afmægtig</w:t>
      </w:r>
      <w:r w:rsidR="00712E21">
        <w:t>e</w:t>
      </w:r>
      <w:r>
        <w:t xml:space="preserve"> og </w:t>
      </w:r>
      <w:r w:rsidR="00712E21">
        <w:t xml:space="preserve">der kan </w:t>
      </w:r>
      <w:r>
        <w:t xml:space="preserve">nogle </w:t>
      </w:r>
      <w:r w:rsidR="00712E21">
        <w:t xml:space="preserve">gange tyes til </w:t>
      </w:r>
      <w:r>
        <w:t>antipsykotisk medicin</w:t>
      </w:r>
      <w:r w:rsidR="00712E21">
        <w:t xml:space="preserve"> som en løsning på problemet</w:t>
      </w:r>
      <w:r w:rsidR="002B7342">
        <w:t>.</w:t>
      </w:r>
      <w:r w:rsidR="00341369">
        <w:t xml:space="preserve"> </w:t>
      </w:r>
      <w:r w:rsidR="00712E21">
        <w:t>Der er</w:t>
      </w:r>
      <w:r w:rsidR="00E11BA9">
        <w:t xml:space="preserve"> dog</w:t>
      </w:r>
      <w:r w:rsidR="00712E21">
        <w:t xml:space="preserve"> </w:t>
      </w:r>
      <w:r w:rsidR="00E11BA9">
        <w:t xml:space="preserve">ofte </w:t>
      </w:r>
      <w:r w:rsidR="00712E21">
        <w:t xml:space="preserve">ringe effekt af behandling med antipsykotisk medicin til mennesker med demens og mange bivirkninger. Derudover ses en øget dødelighed </w:t>
      </w:r>
      <w:r w:rsidR="00712E21" w:rsidRPr="00340C3C">
        <w:t>med 2 til 5 gange</w:t>
      </w:r>
      <w:r w:rsidR="00712E21">
        <w:t>,</w:t>
      </w:r>
      <w:r w:rsidR="00712E21" w:rsidRPr="0030667F">
        <w:t xml:space="preserve"> </w:t>
      </w:r>
      <w:r w:rsidR="00712E21" w:rsidRPr="00340C3C">
        <w:t>pga. større faldtendens og øget risiko for infektion.</w:t>
      </w:r>
      <w:r w:rsidR="00712E21" w:rsidRPr="00340C3C">
        <w:rPr>
          <w:rStyle w:val="Fodnotehenvisning"/>
        </w:rPr>
        <w:t xml:space="preserve"> </w:t>
      </w:r>
      <w:r w:rsidR="00712E21" w:rsidRPr="00340C3C">
        <w:rPr>
          <w:rStyle w:val="Fodnotehenvisning"/>
        </w:rPr>
        <w:footnoteReference w:id="5"/>
      </w:r>
      <w:r w:rsidR="00712E21">
        <w:t xml:space="preserve"> Der er derfor en stærk anbefaling imod at bruge antipsykotisk medicin hos mennesker med demens.</w:t>
      </w:r>
      <w:r w:rsidR="00712E21">
        <w:rPr>
          <w:rStyle w:val="Fodnotehenvisning"/>
        </w:rPr>
        <w:footnoteReference w:id="6"/>
      </w:r>
    </w:p>
    <w:p w14:paraId="64658356" w14:textId="77777777" w:rsidR="00712E21" w:rsidRPr="00340C3C" w:rsidRDefault="00712E21" w:rsidP="00712E21"/>
    <w:p w14:paraId="5F24181B" w14:textId="5A0A78D2" w:rsidR="003B4D91" w:rsidRDefault="00712E21" w:rsidP="003B4D91">
      <w:r>
        <w:t>I</w:t>
      </w:r>
      <w:r w:rsidR="003B4D91">
        <w:t xml:space="preserve"> de Nationale kliniske retningslinjer for demens</w:t>
      </w:r>
      <w:r>
        <w:t xml:space="preserve"> er de</w:t>
      </w:r>
      <w:r w:rsidR="002B7342">
        <w:t>t</w:t>
      </w:r>
      <w:r>
        <w:t xml:space="preserve"> </w:t>
      </w:r>
      <w:r w:rsidR="003B4D91">
        <w:t xml:space="preserve">således </w:t>
      </w:r>
      <w:r w:rsidR="003B4D91" w:rsidRPr="00340C3C">
        <w:t>stærk</w:t>
      </w:r>
      <w:r w:rsidR="003B4D91">
        <w:t>e</w:t>
      </w:r>
      <w:r w:rsidR="003B4D91" w:rsidRPr="00340C3C">
        <w:t xml:space="preserve"> anbefaling</w:t>
      </w:r>
      <w:r w:rsidR="003B4D91">
        <w:t>er at:</w:t>
      </w:r>
    </w:p>
    <w:p w14:paraId="37DC26DC" w14:textId="7AB515B6" w:rsidR="003B4D91" w:rsidRPr="00411C2D" w:rsidRDefault="0030667F" w:rsidP="00411C2D">
      <w:pPr>
        <w:pStyle w:val="Listeafsnit"/>
        <w:numPr>
          <w:ilvl w:val="0"/>
          <w:numId w:val="34"/>
        </w:numPr>
        <w:contextualSpacing/>
        <w:rPr>
          <w:sz w:val="24"/>
          <w:szCs w:val="24"/>
        </w:rPr>
      </w:pPr>
      <w:r>
        <w:t>p</w:t>
      </w:r>
      <w:r w:rsidR="003B4D91">
        <w:t xml:space="preserve">rincipperne om personcentreret omsorg bør anvendes i omsorg og behandling af personer med demens, for at </w:t>
      </w:r>
      <w:r w:rsidR="003B4D91" w:rsidRPr="00411C2D">
        <w:rPr>
          <w:sz w:val="24"/>
          <w:szCs w:val="24"/>
        </w:rPr>
        <w:t xml:space="preserve">forebygge adfærdsmæssige og psykiske symptomer </w:t>
      </w:r>
      <w:r w:rsidR="002B7342" w:rsidRPr="00411C2D">
        <w:rPr>
          <w:sz w:val="24"/>
          <w:szCs w:val="24"/>
        </w:rPr>
        <w:t>og at</w:t>
      </w:r>
      <w:r w:rsidR="002B7342">
        <w:rPr>
          <w:sz w:val="24"/>
          <w:szCs w:val="24"/>
        </w:rPr>
        <w:t xml:space="preserve"> </w:t>
      </w:r>
      <w:r w:rsidR="003B4D91">
        <w:t>man ikke</w:t>
      </w:r>
      <w:r w:rsidR="00171308">
        <w:t xml:space="preserve"> </w:t>
      </w:r>
      <w:r w:rsidR="003B4D91">
        <w:t>anvende</w:t>
      </w:r>
      <w:r>
        <w:t>r</w:t>
      </w:r>
      <w:r w:rsidR="003B4D91">
        <w:t xml:space="preserve"> </w:t>
      </w:r>
      <w:r w:rsidR="00411C2D">
        <w:t>anden generations</w:t>
      </w:r>
      <w:r w:rsidR="003B4D91">
        <w:t xml:space="preserve"> </w:t>
      </w:r>
      <w:proofErr w:type="spellStart"/>
      <w:r w:rsidR="003B4D91">
        <w:t>antipsykotika</w:t>
      </w:r>
      <w:proofErr w:type="spellEnd"/>
      <w:r w:rsidR="003B4D91">
        <w:t xml:space="preserve"> som behandling af </w:t>
      </w:r>
      <w:r w:rsidR="003B4D91" w:rsidRPr="00411C2D">
        <w:rPr>
          <w:sz w:val="24"/>
          <w:szCs w:val="24"/>
        </w:rPr>
        <w:t>adfærdsmæssige og psykiske symptomer</w:t>
      </w:r>
      <w:r w:rsidR="003B4D91">
        <w:t xml:space="preserve"> (BPSD)</w:t>
      </w:r>
      <w:r w:rsidR="003B4D91" w:rsidRPr="00411C2D">
        <w:rPr>
          <w:sz w:val="24"/>
          <w:szCs w:val="24"/>
        </w:rPr>
        <w:t>.</w:t>
      </w:r>
      <w:r w:rsidR="003B4D91" w:rsidRPr="00340C3C">
        <w:rPr>
          <w:rStyle w:val="Fodnotehenvisning"/>
          <w:sz w:val="24"/>
          <w:szCs w:val="24"/>
        </w:rPr>
        <w:footnoteReference w:id="7"/>
      </w:r>
    </w:p>
    <w:p w14:paraId="13CB9426" w14:textId="2870B3A8" w:rsidR="003B4D91" w:rsidRDefault="003B4D91" w:rsidP="003B4D91">
      <w:pPr>
        <w:pStyle w:val="Listeafsnit"/>
        <w:numPr>
          <w:ilvl w:val="0"/>
          <w:numId w:val="34"/>
        </w:numPr>
        <w:contextualSpacing/>
        <w:rPr>
          <w:sz w:val="24"/>
          <w:szCs w:val="24"/>
        </w:rPr>
      </w:pPr>
      <w:r>
        <w:t xml:space="preserve">man </w:t>
      </w:r>
      <w:r w:rsidR="00411C2D">
        <w:t>seponerer</w:t>
      </w:r>
      <w:r>
        <w:t xml:space="preserve"> antipsykotisk medicin (som hovedregel ved </w:t>
      </w:r>
      <w:proofErr w:type="spellStart"/>
      <w:r>
        <w:t>udtrapning</w:t>
      </w:r>
      <w:proofErr w:type="spellEnd"/>
      <w:r>
        <w:t xml:space="preserve">) hos personer med demens i langvarig (&gt;3 måneder) behandling. </w:t>
      </w:r>
      <w:r>
        <w:rPr>
          <w:rStyle w:val="Fodnotehenvisning"/>
        </w:rPr>
        <w:footnoteReference w:id="8"/>
      </w:r>
      <w:r w:rsidRPr="008016CD">
        <w:rPr>
          <w:sz w:val="24"/>
          <w:szCs w:val="24"/>
        </w:rPr>
        <w:t xml:space="preserve"> </w:t>
      </w:r>
    </w:p>
    <w:p w14:paraId="7A19357E" w14:textId="77777777" w:rsidR="00B46080" w:rsidRPr="00180FE0" w:rsidRDefault="00B46080" w:rsidP="00411C2D">
      <w:pPr>
        <w:pStyle w:val="Listeafsnit"/>
        <w:ind w:left="1092"/>
        <w:contextualSpacing/>
        <w:rPr>
          <w:sz w:val="24"/>
          <w:szCs w:val="24"/>
        </w:rPr>
      </w:pPr>
    </w:p>
    <w:p w14:paraId="7282D6EC" w14:textId="2DD60042" w:rsidR="003B4D91" w:rsidRDefault="003B4D91" w:rsidP="003B4D91">
      <w:r w:rsidRPr="00340C3C">
        <w:t>Plejemæssige, socialpædagogiske, psykosociale og miljømæssige tiltag bør derfor altid være første valg</w:t>
      </w:r>
      <w:r>
        <w:t>.</w:t>
      </w:r>
      <w:r w:rsidRPr="00340C3C">
        <w:rPr>
          <w:rStyle w:val="Fodnotehenvisning"/>
        </w:rPr>
        <w:footnoteReference w:id="9"/>
      </w:r>
      <w:r w:rsidR="00171308">
        <w:t xml:space="preserve"> E</w:t>
      </w:r>
      <w:r w:rsidR="00E6007F">
        <w:t>n systematisk og</w:t>
      </w:r>
      <w:r w:rsidR="0030667F">
        <w:t xml:space="preserve"> metodisk tilgang til faglig refleksion</w:t>
      </w:r>
      <w:r w:rsidR="00171308">
        <w:t xml:space="preserve">, hvor der kigges på det enkelte menneske og menneskes behov, så som beboerkonference kan </w:t>
      </w:r>
      <w:r w:rsidR="00E11BA9">
        <w:t xml:space="preserve">derudover </w:t>
      </w:r>
      <w:r w:rsidR="00171308">
        <w:t xml:space="preserve">være med til at </w:t>
      </w:r>
      <w:r w:rsidR="0030667F">
        <w:t>skabe</w:t>
      </w:r>
      <w:r w:rsidR="00712E21">
        <w:t xml:space="preserve"> flere</w:t>
      </w:r>
      <w:r w:rsidR="0030667F">
        <w:t xml:space="preserve"> faglige </w:t>
      </w:r>
      <w:r w:rsidR="00712E21">
        <w:t>handlemuligheder</w:t>
      </w:r>
      <w:r w:rsidR="002B7342">
        <w:t xml:space="preserve"> </w:t>
      </w:r>
      <w:r w:rsidR="0030667F">
        <w:t>med henblik på at øge både borgerens og medarbejdernes trivsel</w:t>
      </w:r>
      <w:r w:rsidR="00E6007F">
        <w:t>.</w:t>
      </w:r>
      <w:r w:rsidR="0030667F">
        <w:rPr>
          <w:rStyle w:val="Fodnotehenvisning"/>
        </w:rPr>
        <w:footnoteReference w:id="10"/>
      </w:r>
    </w:p>
    <w:p w14:paraId="3C63C7EC" w14:textId="30FF9584" w:rsidR="00712E21" w:rsidRDefault="00712E21" w:rsidP="003B4D91"/>
    <w:p w14:paraId="2CC62066" w14:textId="38E70129" w:rsidR="00712E21" w:rsidRPr="00340C3C" w:rsidRDefault="00712E21" w:rsidP="00712E21">
      <w:r>
        <w:t xml:space="preserve">Under mål 3 i den nationale demenshandleplan vil man nedsætte forbrug af antipsykotisk medicin med 50%. </w:t>
      </w:r>
      <w:r w:rsidRPr="00340C3C">
        <w:t xml:space="preserve">Der er blevet gennemført </w:t>
      </w:r>
      <w:r>
        <w:t>monitoreringer</w:t>
      </w:r>
      <w:r w:rsidRPr="00340C3C">
        <w:t xml:space="preserve">, som </w:t>
      </w:r>
      <w:r>
        <w:t>viser anvendelsen at</w:t>
      </w:r>
      <w:r w:rsidRPr="00340C3C">
        <w:t xml:space="preserve"> antipsykotisk medicin til </w:t>
      </w:r>
      <w:r>
        <w:t>mennesker</w:t>
      </w:r>
      <w:r w:rsidRPr="00340C3C">
        <w:t xml:space="preserve"> med demens</w:t>
      </w:r>
      <w:r>
        <w:t xml:space="preserve"> ikke har ændret sig </w:t>
      </w:r>
      <w:r w:rsidR="00E11BA9">
        <w:t>væsentligt</w:t>
      </w:r>
      <w:r>
        <w:t xml:space="preserve"> i de seneste år.</w:t>
      </w:r>
      <w:r w:rsidRPr="00340C3C">
        <w:rPr>
          <w:rStyle w:val="Fodnotehenvisning"/>
        </w:rPr>
        <w:footnoteReference w:id="11"/>
      </w:r>
      <w:r>
        <w:t xml:space="preserve"> De </w:t>
      </w:r>
      <w:r w:rsidRPr="00340C3C">
        <w:t>seneste tal</w:t>
      </w:r>
      <w:r>
        <w:t xml:space="preserve"> viser, at 19 procent</w:t>
      </w:r>
      <w:r w:rsidRPr="00340C3C">
        <w:t xml:space="preserve"> af mennesker med en demensdiag</w:t>
      </w:r>
      <w:r>
        <w:t>nose får antipsykotisk medicin.</w:t>
      </w:r>
      <w:r>
        <w:rPr>
          <w:rStyle w:val="Fodnotehenvisning"/>
        </w:rPr>
        <w:footnoteReference w:id="12"/>
      </w:r>
    </w:p>
    <w:p w14:paraId="5817C5DD" w14:textId="77777777" w:rsidR="00712E21" w:rsidRPr="00340C3C" w:rsidRDefault="00712E21" w:rsidP="003B4D91"/>
    <w:p w14:paraId="207C22FB" w14:textId="77777777" w:rsidR="003B4D91" w:rsidRDefault="003B4D91" w:rsidP="003B4D91"/>
    <w:p w14:paraId="5556CBC7" w14:textId="77777777" w:rsidR="003B4D91" w:rsidRPr="00340C3C" w:rsidRDefault="003B4D91" w:rsidP="003B4D91">
      <w:r w:rsidRPr="00340C3C">
        <w:rPr>
          <w:b/>
        </w:rPr>
        <w:lastRenderedPageBreak/>
        <w:t>Hvem kan søge om midler fra puljen?</w:t>
      </w:r>
      <w:r w:rsidRPr="00340C3C">
        <w:br/>
        <w:t>Puljen kan søges af kommuner, regioner, almen praksis m.fl., dvs. offentlige og private arbejdsgivere.</w:t>
      </w:r>
      <w:r>
        <w:br/>
      </w:r>
    </w:p>
    <w:p w14:paraId="7DD46DE7" w14:textId="77777777" w:rsidR="003B4D91" w:rsidRPr="00340C3C" w:rsidRDefault="003B4D91" w:rsidP="003B4D91">
      <w:r w:rsidRPr="00340C3C">
        <w:t xml:space="preserve">Ansøgning fra en kommune eller region kan ligeledes omfatte private leverandører </w:t>
      </w:r>
      <w:r>
        <w:t>og</w:t>
      </w:r>
      <w:r w:rsidRPr="00340C3C">
        <w:t xml:space="preserve"> selvejende institutioner, friplejeboligleverandører og andre, der ejer eller driver plejecentre eller plejehjem. Private leverandører </w:t>
      </w:r>
      <w:r>
        <w:t xml:space="preserve">og selvejende institutioner </w:t>
      </w:r>
      <w:r w:rsidRPr="00340C3C">
        <w:t>kan, uanset om de indgår i kommunens eller regionens forsyning, søge særskilt.</w:t>
      </w:r>
    </w:p>
    <w:p w14:paraId="5989243D" w14:textId="77777777" w:rsidR="003B4D91" w:rsidRPr="00340C3C" w:rsidRDefault="003B4D91" w:rsidP="003B4D91"/>
    <w:p w14:paraId="7D401298" w14:textId="06A8FA2B" w:rsidR="003B4D91" w:rsidRPr="00340C3C" w:rsidRDefault="003B4D91" w:rsidP="003B4D91">
      <w:r w:rsidRPr="00340C3C" w:rsidDel="007B159E">
        <w:t xml:space="preserve">Der kan i forbindelse med ansøgningen etableres partnerskaber eller indgås samarbejdsaftaler med andre arbejdsgivere, herunder på tværs af sektorer og/eller andre relevante aktører på demensområdet såsom fx faglige selskaber og organisationer, forsknings- og </w:t>
      </w:r>
      <w:r w:rsidR="00411C2D" w:rsidRPr="00340C3C" w:rsidDel="007B159E">
        <w:t>videns aktører</w:t>
      </w:r>
      <w:r w:rsidRPr="00340C3C" w:rsidDel="007B159E">
        <w:t>, uddannelsesinstitutioner og andre udbydere af kurser, tilbud mv.</w:t>
      </w:r>
    </w:p>
    <w:p w14:paraId="1E165AA4" w14:textId="77777777" w:rsidR="003B4D91" w:rsidRDefault="003B4D91" w:rsidP="003B4D91">
      <w:pPr>
        <w:rPr>
          <w:b/>
        </w:rPr>
      </w:pPr>
    </w:p>
    <w:p w14:paraId="5A9FFE26" w14:textId="77777777" w:rsidR="003B4D91" w:rsidRPr="00340C3C" w:rsidRDefault="003B4D91" w:rsidP="003B4D91">
      <w:pPr>
        <w:rPr>
          <w:b/>
          <w:sz w:val="26"/>
          <w:szCs w:val="26"/>
        </w:rPr>
      </w:pPr>
      <w:r w:rsidRPr="00340C3C">
        <w:rPr>
          <w:b/>
          <w:sz w:val="26"/>
          <w:szCs w:val="26"/>
        </w:rPr>
        <w:t>Puljens målgruppe</w:t>
      </w:r>
    </w:p>
    <w:p w14:paraId="46E5D6F7" w14:textId="77777777" w:rsidR="003B4D91" w:rsidRDefault="003B4D91" w:rsidP="003B4D91">
      <w:r w:rsidRPr="00340C3C">
        <w:t>Målgruppen for kompetenceløftet er de forskellige fagprofessionelle, herunder især frontpersonalet, som beskæftiger sig med pleje, omsorg og behandling af mennesker med demens, og hvor et kompetenceløft kan medvirke til nedsættelse af forbrug af antipsykotisk medicin hos mennesker med demens.</w:t>
      </w:r>
    </w:p>
    <w:p w14:paraId="7A748F6E" w14:textId="77777777" w:rsidR="003B4D91" w:rsidRPr="00340C3C" w:rsidRDefault="003B4D91" w:rsidP="003B4D91"/>
    <w:p w14:paraId="64AF56A9" w14:textId="77777777" w:rsidR="003B4D91" w:rsidRPr="00340C3C" w:rsidRDefault="003B4D91" w:rsidP="003B4D91">
      <w:r w:rsidRPr="00340C3C">
        <w:t>Målgruppen omfatter således alle fagprofessionelle, som mennesker med demens er i berøring med, dvs. i hjemmet, i plejebolig/plejecenter samt i behandlingssystemet, herunder social-</w:t>
      </w:r>
      <w:r>
        <w:t xml:space="preserve"> </w:t>
      </w:r>
      <w:r w:rsidRPr="00340C3C">
        <w:t>og sundhedsmedarbejder</w:t>
      </w:r>
      <w:r>
        <w:t>e</w:t>
      </w:r>
      <w:r w:rsidRPr="00340C3C">
        <w:t>, læger og sygeplejersker, samt pædagoger og terapeuter, som står for de daglige aktiviteter i plejecenteret.</w:t>
      </w:r>
      <w:r>
        <w:br/>
      </w:r>
    </w:p>
    <w:p w14:paraId="359C7A38" w14:textId="77777777" w:rsidR="003B4D91" w:rsidRDefault="003B4D91" w:rsidP="003B4D91"/>
    <w:p w14:paraId="4F09949A" w14:textId="77777777" w:rsidR="003B4D91" w:rsidRPr="00340C3C" w:rsidRDefault="003B4D91" w:rsidP="003B4D91">
      <w:r w:rsidRPr="00340C3C">
        <w:rPr>
          <w:b/>
          <w:sz w:val="26"/>
          <w:szCs w:val="26"/>
        </w:rPr>
        <w:t>Hvad kan der søges om støtte til?</w:t>
      </w:r>
      <w:r>
        <w:br/>
      </w:r>
      <w:r w:rsidRPr="00340C3C">
        <w:t>Der kan ansøges om støtte til:</w:t>
      </w:r>
    </w:p>
    <w:p w14:paraId="3D96C51E" w14:textId="6DAA0C34"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Udgifter til deltagelse i efteruddannelse/kurser/tilbud</w:t>
      </w:r>
    </w:p>
    <w:p w14:paraId="5C14DC53" w14:textId="6BB41B96"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Konsulentbistand til implementering og lokal tilpasning m.m.</w:t>
      </w:r>
    </w:p>
    <w:p w14:paraId="2755407C" w14:textId="77777777"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Ansættelse og løn til evt. tovholder/projektleder/projektansatte</w:t>
      </w:r>
    </w:p>
    <w:p w14:paraId="0C9790D8" w14:textId="73FBEC67"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Honorering af relevante oplægsholdere og fagpersoner i nødvendigt omfang</w:t>
      </w:r>
    </w:p>
    <w:p w14:paraId="2D9C5FFF" w14:textId="77777777"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Udvikling af materialer, der er afgørende for gennemførelse af kompetenceløftet</w:t>
      </w:r>
    </w:p>
    <w:p w14:paraId="631B95F2" w14:textId="77777777"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 xml:space="preserve">Frikøb af medarbejdere (kun dækning af løn til vikar) </w:t>
      </w:r>
    </w:p>
    <w:p w14:paraId="34545CBA" w14:textId="77777777" w:rsidR="003B4D91" w:rsidRPr="00340C3C" w:rsidRDefault="003B4D91" w:rsidP="003B4D91">
      <w:pPr>
        <w:pStyle w:val="Listeafsnit"/>
        <w:numPr>
          <w:ilvl w:val="0"/>
          <w:numId w:val="27"/>
        </w:numPr>
        <w:spacing w:after="200" w:line="276" w:lineRule="auto"/>
        <w:contextualSpacing/>
        <w:rPr>
          <w:sz w:val="24"/>
          <w:szCs w:val="24"/>
        </w:rPr>
      </w:pPr>
      <w:r w:rsidRPr="00340C3C">
        <w:rPr>
          <w:sz w:val="24"/>
          <w:szCs w:val="24"/>
        </w:rPr>
        <w:t xml:space="preserve">Kørselsudgifter i </w:t>
      </w:r>
      <w:proofErr w:type="spellStart"/>
      <w:r w:rsidRPr="00340C3C">
        <w:rPr>
          <w:sz w:val="24"/>
          <w:szCs w:val="24"/>
        </w:rPr>
        <w:t>hht</w:t>
      </w:r>
      <w:proofErr w:type="spellEnd"/>
      <w:r w:rsidRPr="00340C3C">
        <w:rPr>
          <w:sz w:val="24"/>
          <w:szCs w:val="24"/>
        </w:rPr>
        <w:t xml:space="preserve">. statens regler </w:t>
      </w:r>
    </w:p>
    <w:p w14:paraId="2376100F" w14:textId="77777777" w:rsidR="003B4D91" w:rsidRPr="00340C3C" w:rsidRDefault="003B4D91" w:rsidP="003B4D91">
      <w:pPr>
        <w:pStyle w:val="Listeafsnit"/>
        <w:numPr>
          <w:ilvl w:val="0"/>
          <w:numId w:val="27"/>
        </w:numPr>
        <w:spacing w:after="200" w:line="276" w:lineRule="auto"/>
        <w:contextualSpacing/>
        <w:rPr>
          <w:sz w:val="24"/>
          <w:szCs w:val="24"/>
        </w:rPr>
      </w:pPr>
      <w:proofErr w:type="spellStart"/>
      <w:r w:rsidRPr="00340C3C">
        <w:rPr>
          <w:sz w:val="24"/>
          <w:szCs w:val="24"/>
        </w:rPr>
        <w:t>Egenevaluering</w:t>
      </w:r>
      <w:proofErr w:type="spellEnd"/>
      <w:r w:rsidRPr="00340C3C">
        <w:rPr>
          <w:sz w:val="24"/>
          <w:szCs w:val="24"/>
        </w:rPr>
        <w:t xml:space="preserve"> i begrænset omfang</w:t>
      </w:r>
      <w:r>
        <w:rPr>
          <w:sz w:val="24"/>
          <w:szCs w:val="24"/>
        </w:rPr>
        <w:t>.</w:t>
      </w:r>
    </w:p>
    <w:p w14:paraId="0352C3AE" w14:textId="77777777" w:rsidR="003B4D91" w:rsidRPr="00340C3C" w:rsidRDefault="003B4D91" w:rsidP="003B4D91">
      <w:r w:rsidRPr="00340C3C">
        <w:t xml:space="preserve">Der kan </w:t>
      </w:r>
      <w:r w:rsidRPr="00340C3C">
        <w:rPr>
          <w:u w:val="single"/>
        </w:rPr>
        <w:t>ikke</w:t>
      </w:r>
      <w:r>
        <w:t xml:space="preserve"> ansøges om støtte </w:t>
      </w:r>
      <w:r w:rsidRPr="00340C3C">
        <w:t>til:</w:t>
      </w:r>
    </w:p>
    <w:p w14:paraId="19298E7B" w14:textId="77777777" w:rsidR="003B4D91" w:rsidRPr="00340C3C" w:rsidRDefault="003B4D91" w:rsidP="003B4D91">
      <w:pPr>
        <w:pStyle w:val="Listeafsnit"/>
        <w:numPr>
          <w:ilvl w:val="0"/>
          <w:numId w:val="29"/>
        </w:numPr>
        <w:contextualSpacing/>
        <w:rPr>
          <w:sz w:val="24"/>
          <w:szCs w:val="24"/>
        </w:rPr>
      </w:pPr>
      <w:r w:rsidRPr="00340C3C">
        <w:rPr>
          <w:sz w:val="24"/>
          <w:szCs w:val="24"/>
        </w:rPr>
        <w:t>Udvikling af nye kurser, efteruddannelsestilbud mv.</w:t>
      </w:r>
    </w:p>
    <w:p w14:paraId="6A4BB4DD" w14:textId="77777777" w:rsidR="003B4D91" w:rsidRPr="00340C3C" w:rsidRDefault="003B4D91" w:rsidP="003B4D91">
      <w:pPr>
        <w:pStyle w:val="Listeafsnit"/>
        <w:numPr>
          <w:ilvl w:val="0"/>
          <w:numId w:val="28"/>
        </w:numPr>
        <w:spacing w:after="200" w:line="276" w:lineRule="auto"/>
        <w:contextualSpacing/>
        <w:rPr>
          <w:sz w:val="24"/>
          <w:szCs w:val="24"/>
        </w:rPr>
      </w:pPr>
      <w:r w:rsidRPr="00340C3C">
        <w:rPr>
          <w:sz w:val="24"/>
          <w:szCs w:val="24"/>
        </w:rPr>
        <w:t>Køb af IT-udstyr og andet apparatur</w:t>
      </w:r>
    </w:p>
    <w:p w14:paraId="75666B42" w14:textId="77777777" w:rsidR="003B4D91" w:rsidRPr="00340C3C" w:rsidRDefault="003B4D91" w:rsidP="003B4D91">
      <w:pPr>
        <w:pStyle w:val="Listeafsnit"/>
        <w:numPr>
          <w:ilvl w:val="0"/>
          <w:numId w:val="28"/>
        </w:numPr>
        <w:spacing w:after="200" w:line="276" w:lineRule="auto"/>
        <w:contextualSpacing/>
        <w:rPr>
          <w:sz w:val="24"/>
          <w:szCs w:val="24"/>
        </w:rPr>
      </w:pPr>
      <w:r w:rsidRPr="00340C3C">
        <w:rPr>
          <w:sz w:val="24"/>
          <w:szCs w:val="24"/>
        </w:rPr>
        <w:t>Forskningsprojekter</w:t>
      </w:r>
    </w:p>
    <w:p w14:paraId="752DAF2C" w14:textId="77777777" w:rsidR="003B4D91" w:rsidRPr="00340C3C" w:rsidRDefault="003B4D91" w:rsidP="003B4D91">
      <w:pPr>
        <w:pStyle w:val="Listeafsnit"/>
        <w:numPr>
          <w:ilvl w:val="0"/>
          <w:numId w:val="28"/>
        </w:numPr>
        <w:spacing w:after="200" w:line="276" w:lineRule="auto"/>
        <w:contextualSpacing/>
        <w:rPr>
          <w:sz w:val="24"/>
          <w:szCs w:val="24"/>
        </w:rPr>
      </w:pPr>
      <w:r w:rsidRPr="00340C3C">
        <w:rPr>
          <w:sz w:val="24"/>
          <w:szCs w:val="24"/>
        </w:rPr>
        <w:t>Aktiviteter og lønmidler, der har karakter af almindelig drift fx husleje og telefon.</w:t>
      </w:r>
    </w:p>
    <w:p w14:paraId="756962FC" w14:textId="7E339B80" w:rsidR="00A14112" w:rsidRDefault="00A14112" w:rsidP="00A14112">
      <w:pPr>
        <w:pStyle w:val="Ingenafstand"/>
        <w:rPr>
          <w:sz w:val="24"/>
          <w:szCs w:val="24"/>
        </w:rPr>
      </w:pPr>
      <w:r w:rsidRPr="00340C3C">
        <w:rPr>
          <w:sz w:val="24"/>
          <w:szCs w:val="24"/>
        </w:rPr>
        <w:t>Hvis der søges om midler til samme type kompetenceløft for to eller flere arbejdspladser med samme arbejdsgiver (fx to eller flere plejecentre</w:t>
      </w:r>
      <w:r>
        <w:rPr>
          <w:sz w:val="24"/>
          <w:szCs w:val="24"/>
        </w:rPr>
        <w:t xml:space="preserve"> i en kommune</w:t>
      </w:r>
      <w:r w:rsidRPr="00340C3C">
        <w:rPr>
          <w:sz w:val="24"/>
          <w:szCs w:val="24"/>
        </w:rPr>
        <w:t>), skal der søges samlet for alle arbejdspladser.</w:t>
      </w:r>
    </w:p>
    <w:p w14:paraId="1CE182E0" w14:textId="77777777" w:rsidR="00A321CB" w:rsidRPr="00340C3C" w:rsidRDefault="00A321CB" w:rsidP="00A14112">
      <w:pPr>
        <w:pStyle w:val="Ingenafstand"/>
        <w:rPr>
          <w:sz w:val="24"/>
          <w:szCs w:val="24"/>
        </w:rPr>
      </w:pPr>
    </w:p>
    <w:p w14:paraId="3276845C" w14:textId="5CF6DC64" w:rsidR="003B4D91" w:rsidRPr="008D6756" w:rsidRDefault="003B4D91" w:rsidP="003B4D91">
      <w:pPr>
        <w:pStyle w:val="Ingenafstand"/>
        <w:rPr>
          <w:sz w:val="24"/>
          <w:szCs w:val="24"/>
        </w:rPr>
      </w:pPr>
      <w:r w:rsidRPr="00340C3C">
        <w:rPr>
          <w:b/>
          <w:sz w:val="26"/>
          <w:szCs w:val="26"/>
        </w:rPr>
        <w:lastRenderedPageBreak/>
        <w:t>Kompetenceløftets indhold</w:t>
      </w:r>
      <w:r>
        <w:br/>
      </w:r>
      <w:r w:rsidRPr="008D6756">
        <w:rPr>
          <w:sz w:val="24"/>
          <w:szCs w:val="24"/>
        </w:rPr>
        <w:t xml:space="preserve">Kompetenceløftet </w:t>
      </w:r>
      <w:r>
        <w:rPr>
          <w:sz w:val="24"/>
          <w:szCs w:val="24"/>
        </w:rPr>
        <w:t>kan både</w:t>
      </w:r>
      <w:r w:rsidRPr="008D6756">
        <w:rPr>
          <w:sz w:val="24"/>
          <w:szCs w:val="24"/>
        </w:rPr>
        <w:t xml:space="preserve"> være målrettet:</w:t>
      </w:r>
    </w:p>
    <w:p w14:paraId="07C09A56" w14:textId="77777777" w:rsidR="003B4D91" w:rsidRPr="008D6756" w:rsidRDefault="003B4D91" w:rsidP="003B4D91">
      <w:pPr>
        <w:pStyle w:val="Ingenafstand"/>
        <w:rPr>
          <w:sz w:val="24"/>
          <w:szCs w:val="24"/>
        </w:rPr>
      </w:pPr>
    </w:p>
    <w:p w14:paraId="02ED91B7" w14:textId="77777777" w:rsidR="003B4D91" w:rsidRPr="008D6756" w:rsidRDefault="003B4D91" w:rsidP="003B4D91">
      <w:pPr>
        <w:pStyle w:val="Listeafsnit"/>
        <w:numPr>
          <w:ilvl w:val="0"/>
          <w:numId w:val="25"/>
        </w:numPr>
        <w:spacing w:after="200" w:line="276" w:lineRule="auto"/>
        <w:contextualSpacing/>
        <w:rPr>
          <w:sz w:val="24"/>
          <w:szCs w:val="24"/>
        </w:rPr>
      </w:pPr>
      <w:r w:rsidRPr="008D6756">
        <w:rPr>
          <w:sz w:val="24"/>
          <w:szCs w:val="24"/>
        </w:rPr>
        <w:t>Praksisnær læring på alle niveauer i pleje- og behandlingsindsatsen, herunder læring på arbejdspladsen, sidemands- oplæring, supervision m.v.</w:t>
      </w:r>
    </w:p>
    <w:p w14:paraId="6EFBBCFE" w14:textId="77777777" w:rsidR="003B4D91" w:rsidRPr="008D6756" w:rsidRDefault="003B4D91" w:rsidP="003B4D91">
      <w:pPr>
        <w:pStyle w:val="Listeafsnit"/>
        <w:numPr>
          <w:ilvl w:val="0"/>
          <w:numId w:val="25"/>
        </w:numPr>
        <w:spacing w:after="200" w:line="276" w:lineRule="auto"/>
        <w:contextualSpacing/>
        <w:rPr>
          <w:sz w:val="24"/>
          <w:szCs w:val="24"/>
        </w:rPr>
      </w:pPr>
      <w:r w:rsidRPr="008D6756">
        <w:rPr>
          <w:sz w:val="24"/>
          <w:szCs w:val="24"/>
        </w:rPr>
        <w:t>Formel kompetencegivende efter- og videreuddannelse, som fx akademi- og diplomuddannelser.</w:t>
      </w:r>
    </w:p>
    <w:p w14:paraId="4A8E6039" w14:textId="77777777" w:rsidR="003B4D91" w:rsidRPr="008D6756" w:rsidRDefault="003B4D91" w:rsidP="003B4D91">
      <w:r w:rsidRPr="008D6756">
        <w:t xml:space="preserve">Kompetenceløftet kan </w:t>
      </w:r>
      <w:r>
        <w:t xml:space="preserve">ligeledes </w:t>
      </w:r>
      <w:r w:rsidRPr="008D6756">
        <w:t>både omfatte basis- og specialistviden og kan derudover med fordel tilrettelægges tværfagligt og tværsektorielt.</w:t>
      </w:r>
    </w:p>
    <w:p w14:paraId="530E5687" w14:textId="77777777" w:rsidR="003B4D91" w:rsidRPr="008D6756" w:rsidRDefault="003B4D91" w:rsidP="003B4D91"/>
    <w:p w14:paraId="681A617E" w14:textId="3D7BC015" w:rsidR="003B4D91" w:rsidRPr="008D6756" w:rsidRDefault="003B4D91" w:rsidP="003B4D91">
      <w:r w:rsidRPr="008D6756">
        <w:t xml:space="preserve">Gennemførelsen af det konkrete kompetenceløft vil kunne spænde lige fra det mindre initiativ, hvor der søges om midler til at få </w:t>
      </w:r>
      <w:r>
        <w:t xml:space="preserve">kompetenceudviklet </w:t>
      </w:r>
      <w:r w:rsidRPr="008D6756">
        <w:t>en afgrænset gruppe medarbejdere understøttet af en enkel transfermodel</w:t>
      </w:r>
      <w:r>
        <w:t xml:space="preserve"> med fokus på omsætning af det lærte til praksis fx forankret i den faglige ledelse suppleret med kollegial sparring</w:t>
      </w:r>
      <w:r w:rsidRPr="008D6756">
        <w:t>, til store tværfaglige/tværsektorielle projekter med deltagelse af mange medarbejdere, inddragelse af konsulenter, flere typer af indsatser i et projektforløb, fx kombination af undervisning, aktionslæring, organisationslæring og tilrettelæggelse af arbejdsgange mv.</w:t>
      </w:r>
      <w:r w:rsidR="00653E90">
        <w:rPr>
          <w:rStyle w:val="Fodnotehenvisning"/>
        </w:rPr>
        <w:footnoteReference w:id="13"/>
      </w:r>
      <w:r w:rsidR="00E11BA9">
        <w:t xml:space="preserve"> I udarbejdelsen af ansøgninger til den aktuelle pulje kan der findes inspiration i den afsluttende erfaringsopsamlingen fra 10 af de gennemførte projekter i den tidligere pulje til praksisnært kompetenceløft inden for demensområdet, der kan downloades fra Sundhedsstyrelsens hjemmeside.</w:t>
      </w:r>
      <w:r w:rsidR="00E11BA9">
        <w:rPr>
          <w:rStyle w:val="Fodnotehenvisning"/>
        </w:rPr>
        <w:footnoteReference w:id="14"/>
      </w:r>
    </w:p>
    <w:p w14:paraId="571B008E" w14:textId="77777777" w:rsidR="003B4D91" w:rsidRPr="008D6756" w:rsidRDefault="003B4D91" w:rsidP="003B4D91"/>
    <w:p w14:paraId="7E8ABFD9" w14:textId="58FA52AC" w:rsidR="00653E90" w:rsidRPr="008D6756" w:rsidRDefault="003B4D91" w:rsidP="004F2BD1">
      <w:r w:rsidRPr="008D6756">
        <w:t>Indholdet</w:t>
      </w:r>
      <w:r w:rsidR="004F2BD1">
        <w:t xml:space="preserve"> i kompetenceløft til </w:t>
      </w:r>
      <w:r w:rsidR="005722D6">
        <w:t>nedbringelse af forbrug af anti</w:t>
      </w:r>
      <w:r w:rsidR="004F2BD1">
        <w:t xml:space="preserve">psykotisk medicin hos mennesker med demens </w:t>
      </w:r>
      <w:r w:rsidR="00653E90">
        <w:t xml:space="preserve">kan </w:t>
      </w:r>
      <w:r w:rsidRPr="008D6756">
        <w:t>bl.a. omfatte:</w:t>
      </w:r>
    </w:p>
    <w:p w14:paraId="2E28570A" w14:textId="4F8F8A27" w:rsidR="00653E90" w:rsidRDefault="00653E90" w:rsidP="003B4D91">
      <w:pPr>
        <w:pStyle w:val="Listeafsnit"/>
        <w:numPr>
          <w:ilvl w:val="0"/>
          <w:numId w:val="26"/>
        </w:numPr>
        <w:spacing w:after="200" w:line="276" w:lineRule="auto"/>
        <w:contextualSpacing/>
        <w:rPr>
          <w:sz w:val="24"/>
          <w:szCs w:val="24"/>
        </w:rPr>
      </w:pPr>
      <w:r>
        <w:rPr>
          <w:sz w:val="24"/>
          <w:szCs w:val="24"/>
        </w:rPr>
        <w:t>Kompetencer til at forstå virkning</w:t>
      </w:r>
      <w:r w:rsidR="005722D6">
        <w:rPr>
          <w:sz w:val="24"/>
          <w:szCs w:val="24"/>
        </w:rPr>
        <w:t>en af anti</w:t>
      </w:r>
      <w:r>
        <w:rPr>
          <w:sz w:val="24"/>
          <w:szCs w:val="24"/>
        </w:rPr>
        <w:t>psykotisk medicin</w:t>
      </w:r>
      <w:r w:rsidR="00341369">
        <w:rPr>
          <w:sz w:val="24"/>
          <w:szCs w:val="24"/>
        </w:rPr>
        <w:t>.</w:t>
      </w:r>
      <w:r>
        <w:rPr>
          <w:sz w:val="24"/>
          <w:szCs w:val="24"/>
        </w:rPr>
        <w:t xml:space="preserve"> </w:t>
      </w:r>
    </w:p>
    <w:p w14:paraId="4FB55964" w14:textId="31683755" w:rsidR="004F2BD1" w:rsidRDefault="004F2BD1" w:rsidP="003B4D91">
      <w:pPr>
        <w:pStyle w:val="Listeafsnit"/>
        <w:numPr>
          <w:ilvl w:val="0"/>
          <w:numId w:val="26"/>
        </w:numPr>
        <w:spacing w:after="200" w:line="276" w:lineRule="auto"/>
        <w:contextualSpacing/>
        <w:rPr>
          <w:sz w:val="24"/>
          <w:szCs w:val="24"/>
        </w:rPr>
      </w:pPr>
      <w:r>
        <w:rPr>
          <w:sz w:val="24"/>
          <w:szCs w:val="24"/>
        </w:rPr>
        <w:t xml:space="preserve">Kompetencer til at </w:t>
      </w:r>
      <w:r w:rsidR="00341369">
        <w:rPr>
          <w:sz w:val="24"/>
          <w:szCs w:val="24"/>
        </w:rPr>
        <w:t>s</w:t>
      </w:r>
      <w:r w:rsidR="00341369" w:rsidRPr="008D6756">
        <w:rPr>
          <w:sz w:val="24"/>
          <w:szCs w:val="24"/>
        </w:rPr>
        <w:t xml:space="preserve">tyrke samarbejde </w:t>
      </w:r>
      <w:r w:rsidR="00341369">
        <w:rPr>
          <w:sz w:val="24"/>
          <w:szCs w:val="24"/>
        </w:rPr>
        <w:t>mellem plejepersonale,</w:t>
      </w:r>
      <w:r w:rsidR="00341369" w:rsidRPr="008D6756">
        <w:rPr>
          <w:sz w:val="24"/>
          <w:szCs w:val="24"/>
        </w:rPr>
        <w:t xml:space="preserve"> praktiserende læge</w:t>
      </w:r>
      <w:r w:rsidR="00341369">
        <w:rPr>
          <w:sz w:val="24"/>
          <w:szCs w:val="24"/>
        </w:rPr>
        <w:t xml:space="preserve">, og eventuel </w:t>
      </w:r>
      <w:proofErr w:type="spellStart"/>
      <w:r w:rsidR="00341369">
        <w:rPr>
          <w:sz w:val="24"/>
          <w:szCs w:val="24"/>
        </w:rPr>
        <w:t>gerontopsykiatrien</w:t>
      </w:r>
      <w:proofErr w:type="spellEnd"/>
      <w:r w:rsidR="00341369">
        <w:rPr>
          <w:sz w:val="24"/>
          <w:szCs w:val="24"/>
        </w:rPr>
        <w:t xml:space="preserve">, for at undgå, nedsætte eller nedtrappe anvendelse af antipsykotisk medicin. </w:t>
      </w:r>
    </w:p>
    <w:p w14:paraId="7A135FA4" w14:textId="6C50C1A7" w:rsidR="00653E90" w:rsidRDefault="004F2BD1" w:rsidP="00341369">
      <w:pPr>
        <w:pStyle w:val="Listeafsnit"/>
        <w:numPr>
          <w:ilvl w:val="0"/>
          <w:numId w:val="26"/>
        </w:numPr>
        <w:spacing w:after="200" w:line="276" w:lineRule="auto"/>
        <w:contextualSpacing/>
        <w:rPr>
          <w:sz w:val="24"/>
          <w:szCs w:val="24"/>
        </w:rPr>
      </w:pPr>
      <w:r>
        <w:rPr>
          <w:sz w:val="24"/>
          <w:szCs w:val="24"/>
        </w:rPr>
        <w:t xml:space="preserve">Kompetencer til at observere </w:t>
      </w:r>
      <w:r w:rsidR="00341369">
        <w:rPr>
          <w:sz w:val="24"/>
          <w:szCs w:val="24"/>
        </w:rPr>
        <w:t xml:space="preserve">og forstå </w:t>
      </w:r>
      <w:r>
        <w:rPr>
          <w:sz w:val="24"/>
          <w:szCs w:val="24"/>
        </w:rPr>
        <w:t>adfærd og adfærdsændringer</w:t>
      </w:r>
      <w:r w:rsidR="00341369">
        <w:rPr>
          <w:sz w:val="24"/>
          <w:szCs w:val="24"/>
        </w:rPr>
        <w:t>,</w:t>
      </w:r>
      <w:r w:rsidR="003B4D91" w:rsidRPr="008D6756">
        <w:rPr>
          <w:sz w:val="24"/>
          <w:szCs w:val="24"/>
        </w:rPr>
        <w:t xml:space="preserve"> som mennes</w:t>
      </w:r>
      <w:r w:rsidR="003B4D91">
        <w:rPr>
          <w:sz w:val="24"/>
          <w:szCs w:val="24"/>
        </w:rPr>
        <w:t>ker med demens kommunikerer med</w:t>
      </w:r>
      <w:r w:rsidR="00341369">
        <w:rPr>
          <w:sz w:val="24"/>
          <w:szCs w:val="24"/>
        </w:rPr>
        <w:t>, samt til at</w:t>
      </w:r>
      <w:r w:rsidR="00653E90">
        <w:rPr>
          <w:sz w:val="24"/>
          <w:szCs w:val="24"/>
        </w:rPr>
        <w:t xml:space="preserve"> håndtere uforståelige</w:t>
      </w:r>
      <w:r w:rsidR="00341369">
        <w:rPr>
          <w:sz w:val="24"/>
          <w:szCs w:val="24"/>
        </w:rPr>
        <w:t xml:space="preserve"> eller udfordrende</w:t>
      </w:r>
      <w:r w:rsidR="00653E90">
        <w:rPr>
          <w:sz w:val="24"/>
          <w:szCs w:val="24"/>
        </w:rPr>
        <w:t xml:space="preserve"> adfærd hos mennesker med demens </w:t>
      </w:r>
      <w:r w:rsidR="005722D6">
        <w:rPr>
          <w:sz w:val="24"/>
          <w:szCs w:val="24"/>
        </w:rPr>
        <w:t xml:space="preserve">med </w:t>
      </w:r>
      <w:r w:rsidR="00306183">
        <w:rPr>
          <w:sz w:val="24"/>
          <w:szCs w:val="24"/>
        </w:rPr>
        <w:t xml:space="preserve">fx </w:t>
      </w:r>
      <w:r w:rsidR="005722D6">
        <w:rPr>
          <w:sz w:val="24"/>
          <w:szCs w:val="24"/>
        </w:rPr>
        <w:t>social</w:t>
      </w:r>
      <w:r w:rsidR="00653E90">
        <w:rPr>
          <w:sz w:val="24"/>
          <w:szCs w:val="24"/>
        </w:rPr>
        <w:t>pædagogiske metoder</w:t>
      </w:r>
    </w:p>
    <w:p w14:paraId="7EBFAF5E" w14:textId="12CE87AD" w:rsidR="00930598" w:rsidRDefault="00930598" w:rsidP="00341369">
      <w:pPr>
        <w:pStyle w:val="Listeafsnit"/>
        <w:numPr>
          <w:ilvl w:val="0"/>
          <w:numId w:val="26"/>
        </w:numPr>
        <w:spacing w:after="200" w:line="276" w:lineRule="auto"/>
        <w:contextualSpacing/>
        <w:rPr>
          <w:sz w:val="24"/>
          <w:szCs w:val="24"/>
        </w:rPr>
      </w:pPr>
      <w:r>
        <w:rPr>
          <w:sz w:val="24"/>
          <w:szCs w:val="24"/>
        </w:rPr>
        <w:t xml:space="preserve">Kompetencer til at arbejde systematisk med den enkelte borgers trivsel, f. eks. ved </w:t>
      </w:r>
      <w:r w:rsidR="00306183">
        <w:rPr>
          <w:sz w:val="24"/>
          <w:szCs w:val="24"/>
        </w:rPr>
        <w:t xml:space="preserve">personcentreret omsorg, BPSD, </w:t>
      </w:r>
      <w:proofErr w:type="spellStart"/>
      <w:r>
        <w:rPr>
          <w:sz w:val="24"/>
          <w:szCs w:val="24"/>
        </w:rPr>
        <w:t>triagering</w:t>
      </w:r>
      <w:proofErr w:type="spellEnd"/>
      <w:r>
        <w:rPr>
          <w:sz w:val="24"/>
          <w:szCs w:val="24"/>
        </w:rPr>
        <w:t>, beboerkonference el. lign.</w:t>
      </w:r>
      <w:r w:rsidR="00306183">
        <w:rPr>
          <w:sz w:val="24"/>
          <w:szCs w:val="24"/>
        </w:rPr>
        <w:t>, som metoder til at reducere anvendelse af antipsykotisk medicin.</w:t>
      </w:r>
    </w:p>
    <w:p w14:paraId="59DC9F22" w14:textId="68F4C920" w:rsidR="003B4D91" w:rsidRDefault="004F2BD1" w:rsidP="00341369">
      <w:pPr>
        <w:pStyle w:val="Listeafsnit"/>
        <w:numPr>
          <w:ilvl w:val="0"/>
          <w:numId w:val="26"/>
        </w:numPr>
        <w:spacing w:after="200" w:line="276" w:lineRule="auto"/>
        <w:contextualSpacing/>
        <w:rPr>
          <w:sz w:val="24"/>
          <w:szCs w:val="24"/>
        </w:rPr>
      </w:pPr>
      <w:r>
        <w:rPr>
          <w:sz w:val="24"/>
          <w:szCs w:val="24"/>
        </w:rPr>
        <w:t xml:space="preserve">Faglige ledelseskompetencer </w:t>
      </w:r>
      <w:r w:rsidR="003B4D91" w:rsidRPr="008D6756">
        <w:rPr>
          <w:sz w:val="24"/>
          <w:szCs w:val="24"/>
        </w:rPr>
        <w:t xml:space="preserve">af demensindsatsen </w:t>
      </w:r>
      <w:r w:rsidR="009F3E39">
        <w:rPr>
          <w:sz w:val="24"/>
          <w:szCs w:val="24"/>
        </w:rPr>
        <w:t>med særlig fokus på for</w:t>
      </w:r>
      <w:r w:rsidR="005722D6">
        <w:rPr>
          <w:sz w:val="24"/>
          <w:szCs w:val="24"/>
        </w:rPr>
        <w:t>brug af anti</w:t>
      </w:r>
      <w:r w:rsidR="00653E90">
        <w:rPr>
          <w:sz w:val="24"/>
          <w:szCs w:val="24"/>
        </w:rPr>
        <w:t xml:space="preserve">psykotisk medicin hos mennesker med demens, </w:t>
      </w:r>
      <w:r w:rsidR="003B4D91" w:rsidRPr="008D6756">
        <w:rPr>
          <w:sz w:val="24"/>
          <w:szCs w:val="24"/>
        </w:rPr>
        <w:t>bl.a. med henblik på at</w:t>
      </w:r>
      <w:r w:rsidR="003B4D91">
        <w:rPr>
          <w:sz w:val="24"/>
          <w:szCs w:val="24"/>
        </w:rPr>
        <w:t xml:space="preserve"> sikre implementering i praksis</w:t>
      </w:r>
      <w:r w:rsidR="00341369">
        <w:rPr>
          <w:sz w:val="24"/>
          <w:szCs w:val="24"/>
        </w:rPr>
        <w:t>.</w:t>
      </w:r>
    </w:p>
    <w:p w14:paraId="11D4D1A8" w14:textId="77777777" w:rsidR="00E11BA9" w:rsidRPr="008D6756" w:rsidRDefault="00E11BA9" w:rsidP="00AA66CB">
      <w:pPr>
        <w:pStyle w:val="Listeafsnit"/>
        <w:spacing w:after="200" w:line="276" w:lineRule="auto"/>
        <w:ind w:left="360"/>
        <w:contextualSpacing/>
        <w:rPr>
          <w:sz w:val="24"/>
          <w:szCs w:val="24"/>
        </w:rPr>
      </w:pPr>
    </w:p>
    <w:p w14:paraId="7FD1BDBB" w14:textId="77777777" w:rsidR="003B4D91" w:rsidRPr="008D6756" w:rsidRDefault="003B4D91" w:rsidP="003B4D91">
      <w:r w:rsidRPr="008D6756">
        <w:rPr>
          <w:b/>
          <w:sz w:val="26"/>
          <w:szCs w:val="26"/>
        </w:rPr>
        <w:lastRenderedPageBreak/>
        <w:t>Kriterier for udvælgelse af ansøgninger</w:t>
      </w:r>
      <w:r>
        <w:br/>
      </w:r>
      <w:r w:rsidRPr="008D6756">
        <w:t xml:space="preserve">Sundhedsstyrelsen vil vurdere ansøgningerne ud fra følgende </w:t>
      </w:r>
      <w:r>
        <w:t xml:space="preserve">fire </w:t>
      </w:r>
      <w:r w:rsidRPr="008D6756">
        <w:t xml:space="preserve">kriterier, som vil blive vurderet på </w:t>
      </w:r>
      <w:r>
        <w:t>baggrund</w:t>
      </w:r>
      <w:r w:rsidRPr="008D6756">
        <w:t xml:space="preserve"> af i hvor høj grad</w:t>
      </w:r>
      <w:r>
        <w:t>,</w:t>
      </w:r>
      <w:r w:rsidRPr="008D6756">
        <w:t xml:space="preserve"> de skønnes opfyldt:</w:t>
      </w:r>
    </w:p>
    <w:p w14:paraId="2C689BBB" w14:textId="77777777" w:rsidR="003B4D91" w:rsidRPr="008D6756" w:rsidRDefault="003B4D91" w:rsidP="003B4D91"/>
    <w:p w14:paraId="442B24E2" w14:textId="77777777" w:rsidR="003B4D91" w:rsidRPr="008D6756" w:rsidRDefault="003B4D91" w:rsidP="003B4D91">
      <w:pPr>
        <w:pStyle w:val="Listeafsnit"/>
        <w:numPr>
          <w:ilvl w:val="0"/>
          <w:numId w:val="31"/>
        </w:numPr>
        <w:spacing w:after="200" w:line="276" w:lineRule="auto"/>
        <w:contextualSpacing/>
        <w:rPr>
          <w:sz w:val="24"/>
          <w:szCs w:val="24"/>
        </w:rPr>
      </w:pPr>
      <w:r w:rsidRPr="008D6756">
        <w:rPr>
          <w:sz w:val="24"/>
          <w:szCs w:val="24"/>
        </w:rPr>
        <w:t>I hvilke</w:t>
      </w:r>
      <w:r>
        <w:rPr>
          <w:sz w:val="24"/>
          <w:szCs w:val="24"/>
        </w:rPr>
        <w:t xml:space="preserve">n grad </w:t>
      </w:r>
      <w:r w:rsidRPr="008D6756">
        <w:rPr>
          <w:sz w:val="24"/>
          <w:szCs w:val="24"/>
        </w:rPr>
        <w:t>projekt</w:t>
      </w:r>
      <w:r>
        <w:rPr>
          <w:sz w:val="24"/>
          <w:szCs w:val="24"/>
        </w:rPr>
        <w:t>et</w:t>
      </w:r>
      <w:r w:rsidRPr="008D6756">
        <w:rPr>
          <w:sz w:val="24"/>
          <w:szCs w:val="24"/>
        </w:rPr>
        <w:t xml:space="preserve"> understøtter puljens formål om et praksisnært kompetenceløft</w:t>
      </w:r>
      <w:r>
        <w:rPr>
          <w:sz w:val="24"/>
          <w:szCs w:val="24"/>
        </w:rPr>
        <w:t>,</w:t>
      </w:r>
      <w:r w:rsidRPr="008D6756">
        <w:rPr>
          <w:sz w:val="24"/>
          <w:szCs w:val="24"/>
        </w:rPr>
        <w:t xml:space="preserve"> </w:t>
      </w:r>
      <w:r>
        <w:rPr>
          <w:sz w:val="24"/>
          <w:szCs w:val="24"/>
        </w:rPr>
        <w:t>som har fokus på at nedbringe</w:t>
      </w:r>
      <w:r w:rsidRPr="008D6756">
        <w:rPr>
          <w:sz w:val="24"/>
          <w:szCs w:val="24"/>
        </w:rPr>
        <w:t xml:space="preserve"> forbrug</w:t>
      </w:r>
      <w:r>
        <w:rPr>
          <w:sz w:val="24"/>
          <w:szCs w:val="24"/>
        </w:rPr>
        <w:t>et</w:t>
      </w:r>
      <w:r w:rsidRPr="008D6756">
        <w:rPr>
          <w:sz w:val="24"/>
          <w:szCs w:val="24"/>
        </w:rPr>
        <w:t xml:space="preserve"> af antipsykotisk medicin </w:t>
      </w:r>
    </w:p>
    <w:p w14:paraId="24AFDAC5" w14:textId="393B29F5" w:rsidR="003B4D91" w:rsidRPr="008D6756" w:rsidRDefault="003B4D91" w:rsidP="003B4D91">
      <w:pPr>
        <w:pStyle w:val="Listeafsnit"/>
        <w:numPr>
          <w:ilvl w:val="0"/>
          <w:numId w:val="31"/>
        </w:numPr>
        <w:spacing w:after="200" w:line="276" w:lineRule="auto"/>
        <w:contextualSpacing/>
        <w:rPr>
          <w:sz w:val="24"/>
          <w:szCs w:val="24"/>
        </w:rPr>
      </w:pPr>
      <w:r w:rsidRPr="008D6756">
        <w:rPr>
          <w:sz w:val="24"/>
          <w:szCs w:val="24"/>
        </w:rPr>
        <w:t xml:space="preserve">I hvilken grad det er sandsynliggjort, at </w:t>
      </w:r>
      <w:r>
        <w:rPr>
          <w:sz w:val="24"/>
          <w:szCs w:val="24"/>
        </w:rPr>
        <w:t>kompetenceløftet</w:t>
      </w:r>
      <w:r w:rsidRPr="008D6756">
        <w:rPr>
          <w:sz w:val="24"/>
          <w:szCs w:val="24"/>
        </w:rPr>
        <w:t xml:space="preserve"> kan omsættes i praksis og blive implementeret i de daglige arbejdsgange</w:t>
      </w:r>
      <w:r>
        <w:rPr>
          <w:sz w:val="24"/>
          <w:szCs w:val="24"/>
        </w:rPr>
        <w:t xml:space="preserve"> og nedbringe</w:t>
      </w:r>
      <w:r w:rsidRPr="008D6756">
        <w:rPr>
          <w:sz w:val="24"/>
          <w:szCs w:val="24"/>
        </w:rPr>
        <w:t xml:space="preserve"> forbrug</w:t>
      </w:r>
      <w:r>
        <w:rPr>
          <w:sz w:val="24"/>
          <w:szCs w:val="24"/>
        </w:rPr>
        <w:t>et</w:t>
      </w:r>
      <w:r w:rsidRPr="008D6756">
        <w:rPr>
          <w:sz w:val="24"/>
          <w:szCs w:val="24"/>
        </w:rPr>
        <w:t xml:space="preserve"> af antipsykotisk medicin</w:t>
      </w:r>
    </w:p>
    <w:p w14:paraId="61B8D50C" w14:textId="77777777" w:rsidR="00306183" w:rsidRDefault="003B4D91" w:rsidP="003B4D91">
      <w:pPr>
        <w:pStyle w:val="Listeafsnit"/>
        <w:numPr>
          <w:ilvl w:val="0"/>
          <w:numId w:val="31"/>
        </w:numPr>
        <w:spacing w:after="200" w:line="276" w:lineRule="auto"/>
        <w:contextualSpacing/>
        <w:rPr>
          <w:sz w:val="24"/>
          <w:szCs w:val="24"/>
        </w:rPr>
      </w:pPr>
      <w:r w:rsidRPr="008D6756">
        <w:rPr>
          <w:sz w:val="24"/>
          <w:szCs w:val="24"/>
        </w:rPr>
        <w:t>I hvilken grad projektet er funderet i ledelsen, så fx den faglige ledelse sikrer, at kompetenceudviklingen forankres i hverdagen med henblik på nedbringelse af antipsykotisk medicin</w:t>
      </w:r>
    </w:p>
    <w:p w14:paraId="4C0B6179" w14:textId="77777777" w:rsidR="00306183" w:rsidRPr="008D6756" w:rsidRDefault="00306183" w:rsidP="00306183">
      <w:pPr>
        <w:pStyle w:val="Listeafsnit"/>
        <w:numPr>
          <w:ilvl w:val="0"/>
          <w:numId w:val="31"/>
        </w:numPr>
        <w:spacing w:after="200" w:line="276" w:lineRule="auto"/>
        <w:contextualSpacing/>
        <w:rPr>
          <w:sz w:val="24"/>
          <w:szCs w:val="24"/>
        </w:rPr>
      </w:pPr>
      <w:r w:rsidRPr="008D6756">
        <w:rPr>
          <w:sz w:val="24"/>
          <w:szCs w:val="24"/>
        </w:rPr>
        <w:t>I hvilken grad der er opstillet klare mål for projektet</w:t>
      </w:r>
      <w:r>
        <w:rPr>
          <w:sz w:val="24"/>
          <w:szCs w:val="24"/>
        </w:rPr>
        <w:t xml:space="preserve">, </w:t>
      </w:r>
      <w:r w:rsidRPr="008D6756">
        <w:rPr>
          <w:sz w:val="24"/>
          <w:szCs w:val="24"/>
        </w:rPr>
        <w:t>kriterier for hvornår disse er opfyldt samt at der foreligger en realistisk tids- og milepælsplan</w:t>
      </w:r>
    </w:p>
    <w:p w14:paraId="6B892AA8" w14:textId="34558AE7" w:rsidR="003B4D91" w:rsidRPr="008D6756" w:rsidRDefault="003B4D91" w:rsidP="003B4D91"/>
    <w:p w14:paraId="08366532" w14:textId="37CFBDF9" w:rsidR="003B4D91" w:rsidRPr="008D6756" w:rsidRDefault="003B4D91" w:rsidP="003B4D91">
      <w:r w:rsidRPr="008D6756">
        <w:t xml:space="preserve">Det forventes, at der i ansøgningen søges om midler til den fulde periode fra </w:t>
      </w:r>
      <w:r w:rsidRPr="009F5F55">
        <w:t>1. december 202</w:t>
      </w:r>
      <w:r w:rsidR="00E10835" w:rsidRPr="009F5F55">
        <w:t>1</w:t>
      </w:r>
      <w:r w:rsidRPr="009F5F55">
        <w:t xml:space="preserve"> til 31. </w:t>
      </w:r>
      <w:r w:rsidR="00E10835" w:rsidRPr="009F5F55">
        <w:t xml:space="preserve">maj </w:t>
      </w:r>
      <w:r w:rsidRPr="009F5F55">
        <w:t>202</w:t>
      </w:r>
      <w:r w:rsidR="00E10835" w:rsidRPr="009F5F55">
        <w:t>3</w:t>
      </w:r>
      <w:r w:rsidRPr="008D6756">
        <w:t xml:space="preserve"> med fokus p</w:t>
      </w:r>
      <w:r>
        <w:t>å hurtig opstart af projekterne.</w:t>
      </w:r>
    </w:p>
    <w:p w14:paraId="29D4F3E0" w14:textId="77777777" w:rsidR="003B4D91" w:rsidRDefault="003B4D91" w:rsidP="003B4D91"/>
    <w:p w14:paraId="699CA181" w14:textId="77777777" w:rsidR="003B4D91" w:rsidRDefault="003B4D91" w:rsidP="003B4D91"/>
    <w:p w14:paraId="38ECB67E" w14:textId="77777777" w:rsidR="003B4D91" w:rsidRPr="008D6756" w:rsidRDefault="003B4D91" w:rsidP="003B4D91">
      <w:r w:rsidRPr="008D6756">
        <w:rPr>
          <w:b/>
          <w:sz w:val="26"/>
          <w:szCs w:val="26"/>
        </w:rPr>
        <w:t>Afrapportering</w:t>
      </w:r>
      <w:r>
        <w:br/>
      </w:r>
      <w:r w:rsidRPr="008D6756">
        <w:t xml:space="preserve">Ansøger er forpligtet til at fremsende en årlig faglig og økonomisk status på projektet. </w:t>
      </w:r>
    </w:p>
    <w:p w14:paraId="6C21D770" w14:textId="77777777" w:rsidR="003B4D91" w:rsidRPr="008D6756" w:rsidRDefault="003B4D91" w:rsidP="003B4D91">
      <w:r w:rsidRPr="008D6756">
        <w:t xml:space="preserve">Ansøger er desuden forpligtet til at indsende en afsluttende rapport til Sundhedsstyrelsen. Skabelonen til den årlige faglige og økonomiske status og den afsluttende afrapportering udarbejdes og fremsendes af Sundhedsstyrelsen. </w:t>
      </w:r>
    </w:p>
    <w:p w14:paraId="6952D175" w14:textId="77777777" w:rsidR="003B4D91" w:rsidRDefault="003B4D91" w:rsidP="003B4D91"/>
    <w:p w14:paraId="293A5364" w14:textId="77777777" w:rsidR="003B4D91" w:rsidRPr="008D6756" w:rsidRDefault="003B4D91" w:rsidP="003B4D91">
      <w:r w:rsidRPr="008D6756">
        <w:rPr>
          <w:b/>
          <w:sz w:val="26"/>
          <w:szCs w:val="26"/>
        </w:rPr>
        <w:t>Ansøgningsprocedure</w:t>
      </w:r>
      <w:r>
        <w:br/>
      </w:r>
      <w:r w:rsidRPr="008D6756">
        <w:t>Ansøgningen må maksimalt fylde 12 sider inklusiv budgetskemaer mv., men eksklusiv evt. andre bilag ansøger har vedlagt.</w:t>
      </w:r>
      <w:r>
        <w:t xml:space="preserve"> </w:t>
      </w:r>
      <w:r w:rsidRPr="008D6756">
        <w:t>Sundhedsstyrelsens ansøgningsskema skal anvendes og udfyldes.</w:t>
      </w:r>
    </w:p>
    <w:p w14:paraId="3D9DEDA8" w14:textId="77777777" w:rsidR="003B4D91" w:rsidRDefault="003B4D91" w:rsidP="003B4D91"/>
    <w:p w14:paraId="6EB32710" w14:textId="77777777" w:rsidR="003B4D91" w:rsidRPr="008D6756" w:rsidRDefault="003B4D91" w:rsidP="003B4D91">
      <w:r w:rsidRPr="008D6756">
        <w:t>Ansøgninger, der ikke er skrevet i ansøgningsskemaet inklusiv budgetskemaer, eller som fylder mere end 12 sider inklusive budgetskemaer, eller som ikke indeholder alle de udbedte redegørelser, vil ikke blive vurderet.</w:t>
      </w:r>
    </w:p>
    <w:p w14:paraId="69EE7344" w14:textId="77777777" w:rsidR="003B4D91" w:rsidRPr="008D6756" w:rsidRDefault="003B4D91" w:rsidP="003B4D91"/>
    <w:p w14:paraId="7BC8EB9D" w14:textId="77777777" w:rsidR="003B4D91" w:rsidRPr="008D6756" w:rsidRDefault="003B4D91" w:rsidP="003B4D91">
      <w:r w:rsidRPr="008D6756">
        <w:t xml:space="preserve">Ansøgningen sendes </w:t>
      </w:r>
      <w:r w:rsidRPr="008D6756">
        <w:rPr>
          <w:i/>
        </w:rPr>
        <w:t>underskrevet</w:t>
      </w:r>
      <w:r>
        <w:t xml:space="preserve">, elektronisk, </w:t>
      </w:r>
      <w:r w:rsidRPr="007D5BB2">
        <w:t xml:space="preserve">til </w:t>
      </w:r>
      <w:r w:rsidRPr="007D5BB2">
        <w:rPr>
          <w:rFonts w:ascii="Arial" w:hAnsi="Arial" w:cs="Arial"/>
          <w:sz w:val="20"/>
          <w:szCs w:val="20"/>
        </w:rPr>
        <w:t>aedpulje@sst.dk</w:t>
      </w:r>
      <w:r w:rsidRPr="008D6756">
        <w:t>. I emnefel</w:t>
      </w:r>
      <w:r>
        <w:t>tet ”Praksisnært kompetenceløft</w:t>
      </w:r>
      <w:r w:rsidRPr="008D6756">
        <w:t>”</w:t>
      </w:r>
      <w:r>
        <w:t xml:space="preserve"> plus navn på ansøger</w:t>
      </w:r>
      <w:r w:rsidRPr="008D6756">
        <w:t>.</w:t>
      </w:r>
    </w:p>
    <w:p w14:paraId="6603E629" w14:textId="77777777" w:rsidR="003B4D91" w:rsidRPr="008D6756" w:rsidRDefault="003B4D91" w:rsidP="003B4D91"/>
    <w:p w14:paraId="3EA1A41D" w14:textId="0015A3BB" w:rsidR="003B4D91" w:rsidRPr="008D6756" w:rsidRDefault="003B4D91" w:rsidP="003B4D91">
      <w:r w:rsidRPr="008D6756">
        <w:rPr>
          <w:b/>
        </w:rPr>
        <w:t xml:space="preserve">Ansøgningsfristen er </w:t>
      </w:r>
      <w:r w:rsidR="00A12F88">
        <w:rPr>
          <w:b/>
        </w:rPr>
        <w:t>den 5. november 2021</w:t>
      </w:r>
      <w:r w:rsidRPr="00A12F88">
        <w:rPr>
          <w:b/>
        </w:rPr>
        <w:t xml:space="preserve"> Kl. 12.</w:t>
      </w:r>
      <w:r w:rsidRPr="008D6756">
        <w:t xml:space="preserve"> Ansøgninger modtaget efter denne dato vil ikke blive taget i betragtning.</w:t>
      </w:r>
    </w:p>
    <w:p w14:paraId="5A21B19E" w14:textId="77777777" w:rsidR="003B4D91" w:rsidRPr="008D6756" w:rsidRDefault="003B4D91" w:rsidP="003B4D91"/>
    <w:p w14:paraId="59A7E65E" w14:textId="7D52D36A" w:rsidR="003B4D91" w:rsidRPr="008D6756" w:rsidRDefault="003B4D91" w:rsidP="003B4D91">
      <w:r w:rsidRPr="008D6756">
        <w:t xml:space="preserve">Ansøgerne kan forvente svar på deres ansøgning </w:t>
      </w:r>
      <w:r w:rsidR="00E10835" w:rsidRPr="009F5F55">
        <w:t>ultimo november 2021</w:t>
      </w:r>
      <w:r w:rsidRPr="009F5F55">
        <w:t>.</w:t>
      </w:r>
    </w:p>
    <w:p w14:paraId="193D9A8A" w14:textId="77777777" w:rsidR="003B4D91" w:rsidRDefault="003B4D91" w:rsidP="003B4D91"/>
    <w:p w14:paraId="6B5E534E" w14:textId="5E4A275A" w:rsidR="003B4D91" w:rsidRDefault="003B4D91" w:rsidP="003B4D91">
      <w:r w:rsidRPr="008D6756">
        <w:rPr>
          <w:b/>
        </w:rPr>
        <w:t>Yderligere oplysninger</w:t>
      </w:r>
      <w:r>
        <w:br/>
      </w:r>
      <w:r w:rsidRPr="008D6756">
        <w:t>Sundhedsstyrelsen kan kontaktes i ansøgningsperioden vedr. spørgsmål til puljen. Spørgsmål stillet</w:t>
      </w:r>
      <w:r w:rsidR="00E47602">
        <w:t xml:space="preserve"> efter den 1. november 2021 kan </w:t>
      </w:r>
      <w:r w:rsidRPr="008D6756">
        <w:t xml:space="preserve">ikke forventes besvaret. Spørgsmål og svar af generel karakter vil blive offentliggjort på Sundhedsstyrelsens hjemmeside: </w:t>
      </w:r>
    </w:p>
    <w:p w14:paraId="5DD49983" w14:textId="206D32EF" w:rsidR="00FE6279" w:rsidRDefault="00FE6279" w:rsidP="003B4D91">
      <w:hyperlink r:id="rId12" w:history="1">
        <w:r>
          <w:rPr>
            <w:rStyle w:val="Hyperlink"/>
          </w:rPr>
          <w:t>Pulje til praksisnært kompetenceløft til nedbringelse af antipsykotisk medicin - Sundhedsstyrelsen</w:t>
        </w:r>
      </w:hyperlink>
      <w:r>
        <w:t xml:space="preserve"> </w:t>
      </w:r>
      <w:bookmarkStart w:id="0" w:name="_GoBack"/>
      <w:bookmarkEnd w:id="0"/>
    </w:p>
    <w:p w14:paraId="01F093CC" w14:textId="3E64A6C6" w:rsidR="00FE6279" w:rsidRDefault="00FE6279" w:rsidP="003B4D91"/>
    <w:p w14:paraId="7AE8B6F1" w14:textId="762C4F60" w:rsidR="003B4D91" w:rsidRPr="008D6756" w:rsidRDefault="003B4D91" w:rsidP="003B4D91">
      <w:r w:rsidRPr="008D6756">
        <w:lastRenderedPageBreak/>
        <w:t>Generelle faglige spørgsmål kan rettes til projektleder Rasmus Højer-Pedersen, tlf. 93 51 85 15, e-mail rahp@sst.dk.</w:t>
      </w:r>
    </w:p>
    <w:p w14:paraId="4CBF3C94" w14:textId="77777777" w:rsidR="003B4D91" w:rsidRPr="008D6756" w:rsidRDefault="003B4D91" w:rsidP="003B4D91"/>
    <w:p w14:paraId="5E2340F2" w14:textId="77777777" w:rsidR="003B4D91" w:rsidRDefault="003B4D91" w:rsidP="003B4D91"/>
    <w:p w14:paraId="097F7463" w14:textId="77777777" w:rsidR="003B4D91" w:rsidRPr="008D6756" w:rsidRDefault="003B4D91" w:rsidP="003B4D91">
      <w:pPr>
        <w:rPr>
          <w:b/>
          <w:sz w:val="26"/>
          <w:szCs w:val="26"/>
        </w:rPr>
      </w:pPr>
      <w:r w:rsidRPr="008D6756">
        <w:rPr>
          <w:b/>
          <w:sz w:val="26"/>
          <w:szCs w:val="26"/>
        </w:rPr>
        <w:t>Litteratur</w:t>
      </w:r>
    </w:p>
    <w:p w14:paraId="5561FF6E" w14:textId="79C94221" w:rsidR="00655FAF" w:rsidRDefault="00655FAF" w:rsidP="003B4D91"/>
    <w:p w14:paraId="03A563B7" w14:textId="6A736C04" w:rsidR="00655FAF" w:rsidRDefault="00655FAF" w:rsidP="00655FAF">
      <w:pPr>
        <w:pStyle w:val="Fodnotetekst"/>
        <w:rPr>
          <w:sz w:val="24"/>
          <w:szCs w:val="24"/>
        </w:rPr>
      </w:pPr>
      <w:r w:rsidRPr="008D6756">
        <w:rPr>
          <w:sz w:val="24"/>
          <w:szCs w:val="24"/>
        </w:rPr>
        <w:t>Anbefalinger for tværsektorielle forløb for mennesker med demens, Sundhedsstyrelsen</w:t>
      </w:r>
      <w:r>
        <w:rPr>
          <w:sz w:val="24"/>
          <w:szCs w:val="24"/>
        </w:rPr>
        <w:t>,</w:t>
      </w:r>
      <w:r w:rsidRPr="008D6756">
        <w:rPr>
          <w:sz w:val="24"/>
          <w:szCs w:val="24"/>
        </w:rPr>
        <w:t xml:space="preserve"> 2020</w:t>
      </w:r>
    </w:p>
    <w:p w14:paraId="11F7274A" w14:textId="77777777" w:rsidR="00655FAF" w:rsidRDefault="00655FAF" w:rsidP="00655FAF">
      <w:pPr>
        <w:pStyle w:val="Fodnotetekst"/>
        <w:rPr>
          <w:sz w:val="24"/>
          <w:szCs w:val="24"/>
        </w:rPr>
      </w:pPr>
    </w:p>
    <w:p w14:paraId="03BB7756" w14:textId="29A74B0E" w:rsidR="00655FAF" w:rsidRPr="008D6756" w:rsidRDefault="00655FAF" w:rsidP="00655FAF">
      <w:pPr>
        <w:pStyle w:val="Fodnotetekst"/>
        <w:rPr>
          <w:sz w:val="24"/>
          <w:szCs w:val="24"/>
        </w:rPr>
      </w:pPr>
      <w:r>
        <w:rPr>
          <w:sz w:val="24"/>
          <w:szCs w:val="24"/>
        </w:rPr>
        <w:t>Brug af lægemidler ved demens</w:t>
      </w:r>
      <w:r w:rsidRPr="004B2C9B">
        <w:rPr>
          <w:sz w:val="24"/>
          <w:szCs w:val="24"/>
        </w:rPr>
        <w:t>- til dig, der arbejder med personer med demens</w:t>
      </w:r>
      <w:r>
        <w:rPr>
          <w:sz w:val="24"/>
          <w:szCs w:val="24"/>
        </w:rPr>
        <w:t>, Sundhedsstyrelsen, 2019</w:t>
      </w:r>
    </w:p>
    <w:p w14:paraId="6903CF96" w14:textId="00F6444B" w:rsidR="00655FAF" w:rsidRDefault="00655FAF" w:rsidP="00655FAF">
      <w:pPr>
        <w:pStyle w:val="Fodnotetekst"/>
        <w:rPr>
          <w:sz w:val="24"/>
          <w:szCs w:val="24"/>
        </w:rPr>
      </w:pPr>
    </w:p>
    <w:p w14:paraId="76D964C2" w14:textId="77777777" w:rsidR="00655FAF" w:rsidRPr="008D6756" w:rsidRDefault="00655FAF" w:rsidP="00655FAF">
      <w:pPr>
        <w:pStyle w:val="Fodnotetekst"/>
        <w:rPr>
          <w:sz w:val="24"/>
          <w:szCs w:val="24"/>
        </w:rPr>
      </w:pPr>
      <w:r w:rsidRPr="008D6756">
        <w:rPr>
          <w:sz w:val="24"/>
          <w:szCs w:val="24"/>
        </w:rPr>
        <w:t>Demenshåndbog: Metoder til at forstå adfærdsmæssige og psykiske symptomer i praksis, Sundhedsstyrelsen</w:t>
      </w:r>
      <w:r>
        <w:rPr>
          <w:sz w:val="24"/>
          <w:szCs w:val="24"/>
        </w:rPr>
        <w:t>,</w:t>
      </w:r>
      <w:r w:rsidRPr="008D6756">
        <w:rPr>
          <w:sz w:val="24"/>
          <w:szCs w:val="24"/>
        </w:rPr>
        <w:t xml:space="preserve"> 2019</w:t>
      </w:r>
    </w:p>
    <w:p w14:paraId="02A6B164" w14:textId="2C10D857" w:rsidR="00655FAF" w:rsidRDefault="00655FAF" w:rsidP="00655FAF">
      <w:pPr>
        <w:pStyle w:val="Fodnotetekst"/>
        <w:rPr>
          <w:sz w:val="24"/>
          <w:szCs w:val="24"/>
        </w:rPr>
      </w:pPr>
    </w:p>
    <w:p w14:paraId="1D485800" w14:textId="6F0673A7" w:rsidR="00655FAF" w:rsidRPr="008D6756" w:rsidRDefault="00655FAF" w:rsidP="00655FAF">
      <w:pPr>
        <w:pStyle w:val="Fodnotetekst"/>
        <w:rPr>
          <w:sz w:val="24"/>
          <w:szCs w:val="24"/>
        </w:rPr>
      </w:pPr>
      <w:r w:rsidRPr="008D6756">
        <w:rPr>
          <w:sz w:val="24"/>
          <w:szCs w:val="24"/>
        </w:rPr>
        <w:t>Demenshåndbog: Personcentreret omsorg i praksis, Sundhedsstyrelsen</w:t>
      </w:r>
      <w:r>
        <w:rPr>
          <w:sz w:val="24"/>
          <w:szCs w:val="24"/>
        </w:rPr>
        <w:t>,</w:t>
      </w:r>
      <w:r w:rsidRPr="008D6756">
        <w:rPr>
          <w:sz w:val="24"/>
          <w:szCs w:val="24"/>
        </w:rPr>
        <w:t xml:space="preserve"> 2019</w:t>
      </w:r>
    </w:p>
    <w:p w14:paraId="38FADAF5" w14:textId="77777777" w:rsidR="00655FAF" w:rsidRDefault="00655FAF" w:rsidP="003B4D91"/>
    <w:p w14:paraId="3D0275AE" w14:textId="562E9DA1" w:rsidR="003B4D91" w:rsidRPr="008D6756" w:rsidRDefault="00FE6279" w:rsidP="003B4D91">
      <w:hyperlink r:id="rId13" w:history="1">
        <w:r w:rsidR="005E026D">
          <w:rPr>
            <w:rStyle w:val="Hyperlink"/>
          </w:rPr>
          <w:t>Demens og antipsykotisk medicin, Styrelsen for patientsikkerhed, 2018</w:t>
        </w:r>
      </w:hyperlink>
    </w:p>
    <w:p w14:paraId="22697193" w14:textId="77777777" w:rsidR="003B4D91" w:rsidRPr="008D6756" w:rsidRDefault="003B4D91" w:rsidP="003B4D91"/>
    <w:p w14:paraId="4436AC48" w14:textId="7BD91158" w:rsidR="008C069E" w:rsidRPr="008C069E" w:rsidRDefault="008C069E" w:rsidP="003B4D91">
      <w:pPr>
        <w:pStyle w:val="Fodnotetekst"/>
        <w:rPr>
          <w:sz w:val="24"/>
          <w:szCs w:val="24"/>
        </w:rPr>
      </w:pPr>
      <w:r w:rsidRPr="00411C2D">
        <w:rPr>
          <w:sz w:val="24"/>
          <w:szCs w:val="24"/>
        </w:rPr>
        <w:t>Metodehåndbog: Beboerkonferencen i praksis, Sundhedsstyrelsen 2020</w:t>
      </w:r>
    </w:p>
    <w:p w14:paraId="627D1C75" w14:textId="77777777" w:rsidR="003B4D91" w:rsidRPr="008D6756" w:rsidRDefault="003B4D91" w:rsidP="003B4D91">
      <w:pPr>
        <w:pStyle w:val="Fodnotetekst"/>
        <w:rPr>
          <w:sz w:val="24"/>
          <w:szCs w:val="24"/>
        </w:rPr>
      </w:pPr>
    </w:p>
    <w:p w14:paraId="74B99023" w14:textId="77777777" w:rsidR="003B4D91" w:rsidRPr="008D6756" w:rsidRDefault="003B4D91" w:rsidP="003B4D91">
      <w:pPr>
        <w:pStyle w:val="Fodnotetekst"/>
        <w:rPr>
          <w:sz w:val="24"/>
          <w:szCs w:val="24"/>
        </w:rPr>
      </w:pPr>
      <w:r w:rsidRPr="008D6756">
        <w:rPr>
          <w:sz w:val="24"/>
          <w:szCs w:val="24"/>
        </w:rPr>
        <w:t xml:space="preserve">Monitorering forbrug af </w:t>
      </w:r>
      <w:proofErr w:type="spellStart"/>
      <w:r w:rsidRPr="008D6756">
        <w:rPr>
          <w:sz w:val="24"/>
          <w:szCs w:val="24"/>
        </w:rPr>
        <w:t>antipsykotika</w:t>
      </w:r>
      <w:proofErr w:type="spellEnd"/>
      <w:r w:rsidRPr="008D6756">
        <w:rPr>
          <w:sz w:val="24"/>
          <w:szCs w:val="24"/>
        </w:rPr>
        <w:t xml:space="preserve"> hos borgere med demens, Sundhedsdatastyrelsen, 2019</w:t>
      </w:r>
    </w:p>
    <w:p w14:paraId="56CE117F" w14:textId="77777777" w:rsidR="009D5950" w:rsidRDefault="009D5950" w:rsidP="00655FAF">
      <w:pPr>
        <w:pStyle w:val="Fodnotetekst"/>
        <w:rPr>
          <w:sz w:val="24"/>
          <w:szCs w:val="24"/>
        </w:rPr>
      </w:pPr>
    </w:p>
    <w:p w14:paraId="4FA5C994" w14:textId="242266CA" w:rsidR="00655FAF" w:rsidRDefault="00655FAF" w:rsidP="00655FAF">
      <w:pPr>
        <w:pStyle w:val="Fodnotetekst"/>
        <w:rPr>
          <w:sz w:val="24"/>
          <w:szCs w:val="24"/>
        </w:rPr>
      </w:pPr>
      <w:r>
        <w:rPr>
          <w:sz w:val="24"/>
          <w:szCs w:val="24"/>
        </w:rPr>
        <w:t>National klinisk retningslinje: Demens og medicin, Sundhedsstyrelsen, 2018</w:t>
      </w:r>
    </w:p>
    <w:p w14:paraId="70030419" w14:textId="77777777" w:rsidR="00655FAF" w:rsidRDefault="00655FAF" w:rsidP="003B4D91">
      <w:pPr>
        <w:pStyle w:val="Fodnotetekst"/>
        <w:rPr>
          <w:sz w:val="24"/>
          <w:szCs w:val="24"/>
        </w:rPr>
      </w:pPr>
    </w:p>
    <w:p w14:paraId="46B7F12E" w14:textId="0593F71B" w:rsidR="003B4D91" w:rsidRDefault="003B4D91" w:rsidP="003B4D91">
      <w:pPr>
        <w:pStyle w:val="Fodnotetekst"/>
        <w:rPr>
          <w:sz w:val="24"/>
          <w:szCs w:val="24"/>
        </w:rPr>
      </w:pPr>
      <w:r w:rsidRPr="008D6756">
        <w:rPr>
          <w:sz w:val="24"/>
          <w:szCs w:val="24"/>
        </w:rPr>
        <w:t>National klinisk retningslinje: Forebyggelse og behandling af adfærdsmæssige og psykiske symptomer hos personer med demens, Sundhedsstyrelsen</w:t>
      </w:r>
      <w:r w:rsidR="009F3E39">
        <w:rPr>
          <w:sz w:val="24"/>
          <w:szCs w:val="24"/>
        </w:rPr>
        <w:t xml:space="preserve">, </w:t>
      </w:r>
      <w:r w:rsidRPr="008D6756">
        <w:rPr>
          <w:sz w:val="24"/>
          <w:szCs w:val="24"/>
        </w:rPr>
        <w:t>2019</w:t>
      </w:r>
    </w:p>
    <w:p w14:paraId="187B7BDC" w14:textId="4EEEE6ED" w:rsidR="00655FAF" w:rsidRDefault="00655FAF" w:rsidP="003B4D91">
      <w:pPr>
        <w:pStyle w:val="Fodnotetekst"/>
        <w:rPr>
          <w:sz w:val="24"/>
          <w:szCs w:val="24"/>
        </w:rPr>
      </w:pPr>
    </w:p>
    <w:p w14:paraId="56953386" w14:textId="399B3DFC" w:rsidR="009F3E39" w:rsidRDefault="00655FAF" w:rsidP="003B4D91">
      <w:pPr>
        <w:pStyle w:val="Fodnotetekst"/>
        <w:rPr>
          <w:sz w:val="24"/>
          <w:szCs w:val="24"/>
        </w:rPr>
      </w:pPr>
      <w:r>
        <w:rPr>
          <w:sz w:val="24"/>
          <w:szCs w:val="24"/>
        </w:rPr>
        <w:t xml:space="preserve">Praksisnært kompetenceløft inden for demensområdet: Monitorering af kompetenceløftsaktiviteter som led i Den Nationale Demenshandlingsplan 2025, Sundhedsstyrelsen 2020. </w:t>
      </w:r>
    </w:p>
    <w:p w14:paraId="2597BE9B" w14:textId="27658240" w:rsidR="009F3E39" w:rsidRDefault="009F3E39" w:rsidP="003B4D91">
      <w:pPr>
        <w:pStyle w:val="Fodnotetekst"/>
        <w:rPr>
          <w:sz w:val="24"/>
          <w:szCs w:val="24"/>
        </w:rPr>
      </w:pPr>
    </w:p>
    <w:p w14:paraId="19AC42A3" w14:textId="290E513D" w:rsidR="003B4D91" w:rsidRDefault="00E11BA9" w:rsidP="003B4D91">
      <w:r w:rsidRPr="00E11BA9">
        <w:t xml:space="preserve">Praksisnært kompetenceløft inden for demensområdet Erfaringer og inspiration fra 10 projekter, Sundhedsstyrelsen 2020.  </w:t>
      </w:r>
    </w:p>
    <w:p w14:paraId="254F58F2" w14:textId="77777777" w:rsidR="00E11BA9" w:rsidRDefault="00E11BA9" w:rsidP="003B4D91"/>
    <w:p w14:paraId="0085214A" w14:textId="6B43D4E7" w:rsidR="003B4D91" w:rsidRPr="005B1B10" w:rsidRDefault="003B4D91" w:rsidP="003B4D91">
      <w:pPr>
        <w:pStyle w:val="Fodnotetekst"/>
        <w:rPr>
          <w:sz w:val="24"/>
          <w:szCs w:val="24"/>
        </w:rPr>
      </w:pPr>
    </w:p>
    <w:p w14:paraId="54169865" w14:textId="47EEBA09" w:rsidR="009C14E5" w:rsidRDefault="009C14E5" w:rsidP="00D93B91">
      <w:pPr>
        <w:autoSpaceDE w:val="0"/>
        <w:autoSpaceDN w:val="0"/>
        <w:adjustRightInd w:val="0"/>
        <w:spacing w:line="276" w:lineRule="auto"/>
        <w:rPr>
          <w:b/>
          <w:bCs/>
          <w:sz w:val="26"/>
          <w:szCs w:val="26"/>
          <w:lang w:eastAsia="en-US"/>
        </w:rPr>
      </w:pPr>
    </w:p>
    <w:sectPr w:rsidR="009C14E5" w:rsidSect="009A3D2A">
      <w:footerReference w:type="default" r:id="rId14"/>
      <w:endnotePr>
        <w:numFmt w:val="decimal"/>
      </w:endnotePr>
      <w:type w:val="continuous"/>
      <w:pgSz w:w="11906" w:h="16838"/>
      <w:pgMar w:top="136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66A2" w14:textId="77777777" w:rsidR="00933971" w:rsidRDefault="00933971" w:rsidP="00D41A57">
      <w:r>
        <w:separator/>
      </w:r>
    </w:p>
  </w:endnote>
  <w:endnote w:type="continuationSeparator" w:id="0">
    <w:p w14:paraId="6888E047" w14:textId="77777777" w:rsidR="00933971" w:rsidRDefault="00933971"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2DD3" w14:textId="77777777" w:rsidR="00306183" w:rsidRDefault="00306183">
    <w:pPr>
      <w:pStyle w:val="Sidefod"/>
    </w:pPr>
    <w:r>
      <w:rPr>
        <w:noProof/>
      </w:rPr>
      <w:drawing>
        <wp:anchor distT="0" distB="0" distL="114300" distR="114300" simplePos="1" relativeHeight="251661312" behindDoc="0" locked="0" layoutInCell="1" allowOverlap="1" wp14:anchorId="5E68C397" wp14:editId="74246BEB">
          <wp:simplePos x="0" y="0"/>
          <wp:positionH relativeFrom="column">
            <wp:posOffset>0</wp:posOffset>
          </wp:positionH>
          <wp:positionV relativeFrom="paragraph">
            <wp:posOffset>0</wp:posOffset>
          </wp:positionV>
          <wp:extent cx="5057775" cy="5734050"/>
          <wp:effectExtent l="0" t="0" r="9525" b="0"/>
          <wp:wrapNone/>
          <wp:docPr id="12" name="SST_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057775" cy="5734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1" relativeHeight="251659264" behindDoc="1" locked="0" layoutInCell="0" allowOverlap="1" wp14:anchorId="344CFE13" wp14:editId="08BBE15E">
          <wp:simplePos x="0" y="0"/>
          <wp:positionH relativeFrom="page">
            <wp:posOffset>5939790</wp:posOffset>
          </wp:positionH>
          <wp:positionV relativeFrom="page">
            <wp:posOffset>8855710</wp:posOffset>
          </wp:positionV>
          <wp:extent cx="1619250" cy="1835785"/>
          <wp:effectExtent l="0" t="0" r="0" b="0"/>
          <wp:wrapNone/>
          <wp:docPr id="13" name="SS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18357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99931"/>
      <w:docPartObj>
        <w:docPartGallery w:val="Page Numbers (Bottom of Page)"/>
        <w:docPartUnique/>
      </w:docPartObj>
    </w:sdtPr>
    <w:sdtEndPr/>
    <w:sdtContent>
      <w:p w14:paraId="69794211" w14:textId="0AEC6F88" w:rsidR="00306183" w:rsidRDefault="00306183">
        <w:pPr>
          <w:pStyle w:val="Sidefod"/>
          <w:jc w:val="center"/>
        </w:pPr>
        <w:r>
          <w:fldChar w:fldCharType="begin"/>
        </w:r>
        <w:r>
          <w:instrText>PAGE   \* MERGEFORMAT</w:instrText>
        </w:r>
        <w:r>
          <w:fldChar w:fldCharType="separate"/>
        </w:r>
        <w:r w:rsidR="00FE6279">
          <w:rPr>
            <w:noProof/>
          </w:rPr>
          <w:t>7</w:t>
        </w:r>
        <w:r>
          <w:fldChar w:fldCharType="end"/>
        </w:r>
      </w:p>
    </w:sdtContent>
  </w:sdt>
  <w:p w14:paraId="6BE8833B" w14:textId="77777777" w:rsidR="00306183" w:rsidRDefault="003061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E165" w14:textId="77777777" w:rsidR="00933971" w:rsidRDefault="00933971" w:rsidP="00D41A57">
      <w:r>
        <w:separator/>
      </w:r>
    </w:p>
  </w:footnote>
  <w:footnote w:type="continuationSeparator" w:id="0">
    <w:p w14:paraId="6902769E" w14:textId="77777777" w:rsidR="00933971" w:rsidRDefault="00933971" w:rsidP="00D41A57">
      <w:r>
        <w:continuationSeparator/>
      </w:r>
    </w:p>
  </w:footnote>
  <w:footnote w:id="1">
    <w:p w14:paraId="4328C62C" w14:textId="77777777" w:rsidR="00306183" w:rsidRDefault="00306183" w:rsidP="003B4D91">
      <w:pPr>
        <w:pStyle w:val="Fodnotetekst"/>
      </w:pPr>
      <w:r>
        <w:rPr>
          <w:rStyle w:val="Fodnotehenvisning"/>
        </w:rPr>
        <w:footnoteRef/>
      </w:r>
      <w:r>
        <w:t xml:space="preserve"> Demenshåndbog: Metoder til at forstå adfærdsmæssige og psykiske symptomer i praksis, Sundhedsstyrelsen 2019 </w:t>
      </w:r>
    </w:p>
  </w:footnote>
  <w:footnote w:id="2">
    <w:p w14:paraId="0E476A8B" w14:textId="77777777" w:rsidR="00306183" w:rsidRDefault="00306183" w:rsidP="003B4D91">
      <w:pPr>
        <w:pStyle w:val="Fodnotetekst"/>
      </w:pPr>
      <w:r>
        <w:rPr>
          <w:rStyle w:val="Fodnotehenvisning"/>
        </w:rPr>
        <w:footnoteRef/>
      </w:r>
      <w:r>
        <w:t xml:space="preserve"> </w:t>
      </w:r>
      <w:r w:rsidRPr="008016CD">
        <w:t>Brug af lægemidler ved demens - til dig, der arbejder med personer med demens</w:t>
      </w:r>
      <w:r>
        <w:t>, Sundhedsstyrelsen 2019</w:t>
      </w:r>
    </w:p>
  </w:footnote>
  <w:footnote w:id="3">
    <w:p w14:paraId="7E1B6807" w14:textId="77777777" w:rsidR="00306183" w:rsidRPr="004B2C9B" w:rsidRDefault="00306183" w:rsidP="00BF6784">
      <w:pPr>
        <w:pStyle w:val="Fodnotetekst"/>
        <w:rPr>
          <w:sz w:val="18"/>
          <w:szCs w:val="18"/>
        </w:rPr>
      </w:pPr>
      <w:r>
        <w:rPr>
          <w:rStyle w:val="Fodnotehenvisning"/>
        </w:rPr>
        <w:footnoteRef/>
      </w:r>
      <w:r>
        <w:t xml:space="preserve"> </w:t>
      </w:r>
      <w:r w:rsidRPr="004B2C9B">
        <w:rPr>
          <w:sz w:val="18"/>
          <w:szCs w:val="18"/>
        </w:rPr>
        <w:t>Demenshåndbog: Metoder til at forstå adfærdsmæssige og psykiske symptomer i praksis, Sundhedsstyrelsen 2019</w:t>
      </w:r>
    </w:p>
  </w:footnote>
  <w:footnote w:id="4">
    <w:p w14:paraId="745FB6E7" w14:textId="77777777" w:rsidR="00306183" w:rsidRPr="00B46080" w:rsidRDefault="00306183" w:rsidP="003B4D91">
      <w:pPr>
        <w:pStyle w:val="Fodnotetekst"/>
        <w:rPr>
          <w:sz w:val="18"/>
          <w:szCs w:val="18"/>
        </w:rPr>
      </w:pPr>
      <w:r w:rsidRPr="00B46080">
        <w:rPr>
          <w:rStyle w:val="Fodnotehenvisning"/>
          <w:sz w:val="18"/>
          <w:szCs w:val="18"/>
        </w:rPr>
        <w:footnoteRef/>
      </w:r>
      <w:r w:rsidRPr="00B46080">
        <w:rPr>
          <w:sz w:val="18"/>
          <w:szCs w:val="18"/>
        </w:rPr>
        <w:t xml:space="preserve"> Demenshåndbog: Personcentreret omsorg i praksis, Sundhedsstyrelsen 2019</w:t>
      </w:r>
    </w:p>
  </w:footnote>
  <w:footnote w:id="5">
    <w:p w14:paraId="256C586E" w14:textId="77777777" w:rsidR="00306183" w:rsidRPr="00B46080" w:rsidRDefault="00306183" w:rsidP="00712E21">
      <w:pPr>
        <w:pStyle w:val="Fodnotetekst"/>
        <w:rPr>
          <w:sz w:val="18"/>
          <w:szCs w:val="18"/>
        </w:rPr>
      </w:pPr>
      <w:r w:rsidRPr="00B46080">
        <w:rPr>
          <w:rStyle w:val="Fodnotehenvisning"/>
          <w:sz w:val="18"/>
          <w:szCs w:val="18"/>
        </w:rPr>
        <w:footnoteRef/>
      </w:r>
      <w:r w:rsidRPr="00B46080">
        <w:rPr>
          <w:sz w:val="18"/>
          <w:szCs w:val="18"/>
        </w:rPr>
        <w:t xml:space="preserve"> Demens og antipsykotisk medicin, undervisningsmateriale til plejepersonale, Styrelse</w:t>
      </w:r>
      <w:r>
        <w:rPr>
          <w:sz w:val="18"/>
          <w:szCs w:val="18"/>
        </w:rPr>
        <w:t>n</w:t>
      </w:r>
      <w:r w:rsidRPr="00B46080">
        <w:rPr>
          <w:sz w:val="18"/>
          <w:szCs w:val="18"/>
        </w:rPr>
        <w:t xml:space="preserve"> for Patientsikkerhed, 2018</w:t>
      </w:r>
    </w:p>
  </w:footnote>
  <w:footnote w:id="6">
    <w:p w14:paraId="488933CD" w14:textId="77777777" w:rsidR="00306183" w:rsidRPr="00341369" w:rsidRDefault="00306183" w:rsidP="00712E21">
      <w:pPr>
        <w:pStyle w:val="Fodnotetekst"/>
        <w:spacing w:after="0"/>
        <w:rPr>
          <w:color w:val="5F5F5F"/>
          <w:sz w:val="18"/>
          <w:szCs w:val="18"/>
        </w:rPr>
      </w:pPr>
      <w:r w:rsidRPr="00341369">
        <w:rPr>
          <w:rStyle w:val="Fodnotehenvisning"/>
          <w:sz w:val="18"/>
          <w:szCs w:val="18"/>
        </w:rPr>
        <w:footnoteRef/>
      </w:r>
      <w:r w:rsidRPr="00341369">
        <w:rPr>
          <w:sz w:val="18"/>
          <w:szCs w:val="18"/>
        </w:rPr>
        <w:t xml:space="preserve"> National kliniske retningslinjer, forebyggelse og behandling af adfærdsmæssige og psykiske sumptomer hos personer med demens, Sundhedsstyrelsen, 2019</w:t>
      </w:r>
    </w:p>
  </w:footnote>
  <w:footnote w:id="7">
    <w:p w14:paraId="2A2393D5" w14:textId="77777777" w:rsidR="00306183" w:rsidRPr="00B46080" w:rsidRDefault="00306183" w:rsidP="003B4D91">
      <w:pPr>
        <w:pStyle w:val="Fodnotetekst"/>
        <w:rPr>
          <w:sz w:val="18"/>
          <w:szCs w:val="18"/>
        </w:rPr>
      </w:pPr>
      <w:r w:rsidRPr="00B46080">
        <w:rPr>
          <w:rStyle w:val="Fodnotehenvisning"/>
          <w:sz w:val="18"/>
          <w:szCs w:val="18"/>
        </w:rPr>
        <w:footnoteRef/>
      </w:r>
      <w:r w:rsidRPr="00B46080">
        <w:rPr>
          <w:sz w:val="18"/>
          <w:szCs w:val="18"/>
        </w:rPr>
        <w:t xml:space="preserve"> National klinisk retningslinje: Forebyggelse og behandling af adfærdsmæssige og psykiske symptomer hos personer med demens, Sundhedsstyrelsen 2019</w:t>
      </w:r>
    </w:p>
  </w:footnote>
  <w:footnote w:id="8">
    <w:p w14:paraId="31EB0EEC" w14:textId="77777777" w:rsidR="00306183" w:rsidRPr="00B46080" w:rsidRDefault="00306183" w:rsidP="003B4D91">
      <w:pPr>
        <w:pStyle w:val="Fodnotetekst"/>
        <w:rPr>
          <w:sz w:val="18"/>
          <w:szCs w:val="18"/>
        </w:rPr>
      </w:pPr>
      <w:r w:rsidRPr="00B46080">
        <w:rPr>
          <w:rStyle w:val="Fodnotehenvisning"/>
          <w:sz w:val="18"/>
          <w:szCs w:val="18"/>
        </w:rPr>
        <w:footnoteRef/>
      </w:r>
      <w:r w:rsidRPr="00B46080">
        <w:rPr>
          <w:sz w:val="18"/>
          <w:szCs w:val="18"/>
        </w:rPr>
        <w:t xml:space="preserve"> National klinisk retningslinje: Demens og medicin, Sundhedsstyrelsen 2018</w:t>
      </w:r>
    </w:p>
  </w:footnote>
  <w:footnote w:id="9">
    <w:p w14:paraId="21A84496" w14:textId="77777777" w:rsidR="00306183" w:rsidRPr="00B46080" w:rsidRDefault="00306183" w:rsidP="003B4D91">
      <w:pPr>
        <w:pStyle w:val="Fodnotetekst"/>
        <w:rPr>
          <w:sz w:val="18"/>
          <w:szCs w:val="18"/>
        </w:rPr>
      </w:pPr>
      <w:r w:rsidRPr="00B46080">
        <w:rPr>
          <w:rStyle w:val="Fodnotehenvisning"/>
          <w:sz w:val="18"/>
          <w:szCs w:val="18"/>
        </w:rPr>
        <w:footnoteRef/>
      </w:r>
      <w:r w:rsidRPr="00B46080">
        <w:rPr>
          <w:sz w:val="18"/>
          <w:szCs w:val="18"/>
        </w:rPr>
        <w:t xml:space="preserve"> Anbefalinger for tværsektorielle forløb for mennesker med demens, Sundhedsstyrelsen 2020</w:t>
      </w:r>
    </w:p>
  </w:footnote>
  <w:footnote w:id="10">
    <w:p w14:paraId="7774F4D4" w14:textId="5F6BE0D3" w:rsidR="00306183" w:rsidRDefault="00306183">
      <w:pPr>
        <w:pStyle w:val="Fodnotetekst"/>
      </w:pPr>
      <w:r>
        <w:rPr>
          <w:rStyle w:val="Fodnotehenvisning"/>
        </w:rPr>
        <w:footnoteRef/>
      </w:r>
      <w:r>
        <w:t xml:space="preserve"> </w:t>
      </w:r>
      <w:r w:rsidRPr="00411C2D">
        <w:rPr>
          <w:sz w:val="18"/>
          <w:szCs w:val="18"/>
        </w:rPr>
        <w:t>Metodehåndbog</w:t>
      </w:r>
      <w:r>
        <w:rPr>
          <w:sz w:val="18"/>
          <w:szCs w:val="18"/>
        </w:rPr>
        <w:t>: Beboerkonferencen i praksis, Sundhedsstyrelsen 2020</w:t>
      </w:r>
    </w:p>
  </w:footnote>
  <w:footnote w:id="11">
    <w:p w14:paraId="47D5C358" w14:textId="77777777" w:rsidR="00306183" w:rsidRPr="00B46080" w:rsidRDefault="00306183" w:rsidP="00712E21">
      <w:pPr>
        <w:pStyle w:val="Fodnotetekst"/>
        <w:rPr>
          <w:sz w:val="18"/>
          <w:szCs w:val="18"/>
        </w:rPr>
      </w:pPr>
      <w:r w:rsidRPr="00B46080">
        <w:rPr>
          <w:rStyle w:val="Fodnotehenvisning"/>
          <w:sz w:val="18"/>
          <w:szCs w:val="18"/>
        </w:rPr>
        <w:footnoteRef/>
      </w:r>
      <w:r w:rsidRPr="00B46080">
        <w:rPr>
          <w:sz w:val="18"/>
          <w:szCs w:val="18"/>
        </w:rPr>
        <w:t xml:space="preserve"> Monitorering forbrug af </w:t>
      </w:r>
      <w:proofErr w:type="spellStart"/>
      <w:r w:rsidRPr="00B46080">
        <w:rPr>
          <w:sz w:val="18"/>
          <w:szCs w:val="18"/>
        </w:rPr>
        <w:t>antipsykotika</w:t>
      </w:r>
      <w:proofErr w:type="spellEnd"/>
      <w:r w:rsidRPr="00B46080">
        <w:rPr>
          <w:sz w:val="18"/>
          <w:szCs w:val="18"/>
        </w:rPr>
        <w:t xml:space="preserve"> hos borgere med demens, Sundhedsdatastyrelsen, 2019</w:t>
      </w:r>
    </w:p>
  </w:footnote>
  <w:footnote w:id="12">
    <w:p w14:paraId="6EB3DC16" w14:textId="77777777" w:rsidR="00306183" w:rsidRPr="00B46080" w:rsidRDefault="00306183" w:rsidP="00712E21">
      <w:pPr>
        <w:pStyle w:val="Fodnotetekst"/>
        <w:rPr>
          <w:sz w:val="18"/>
          <w:szCs w:val="18"/>
        </w:rPr>
      </w:pPr>
      <w:r w:rsidRPr="00B46080">
        <w:rPr>
          <w:rStyle w:val="Fodnotehenvisning"/>
          <w:sz w:val="18"/>
          <w:szCs w:val="18"/>
        </w:rPr>
        <w:footnoteRef/>
      </w:r>
      <w:r w:rsidRPr="00B46080">
        <w:rPr>
          <w:sz w:val="18"/>
          <w:szCs w:val="18"/>
        </w:rPr>
        <w:t xml:space="preserve"> Monitorering forbrug af </w:t>
      </w:r>
      <w:proofErr w:type="spellStart"/>
      <w:r w:rsidRPr="00B46080">
        <w:rPr>
          <w:sz w:val="18"/>
          <w:szCs w:val="18"/>
        </w:rPr>
        <w:t>antipsykotika</w:t>
      </w:r>
      <w:proofErr w:type="spellEnd"/>
      <w:r w:rsidRPr="00B46080">
        <w:rPr>
          <w:sz w:val="18"/>
          <w:szCs w:val="18"/>
        </w:rPr>
        <w:t xml:space="preserve"> hos borgere med demens, Sundhedsdatastyrelsen, 2019</w:t>
      </w:r>
    </w:p>
  </w:footnote>
  <w:footnote w:id="13">
    <w:p w14:paraId="3A125401" w14:textId="13CAB1D5" w:rsidR="00306183" w:rsidRDefault="00306183" w:rsidP="00411C2D">
      <w:pPr>
        <w:pStyle w:val="Kommentartekst"/>
      </w:pPr>
      <w:r>
        <w:rPr>
          <w:rStyle w:val="Fodnotehenvisning"/>
        </w:rPr>
        <w:footnoteRef/>
      </w:r>
      <w:r>
        <w:t xml:space="preserve"> Praksisnært kompetenceløft inden for demensområdet: Monitorering af kompetenceløftsaktiviteter som led i Den Nationale Demenshandlingsplan 2025, Sundhedsstyrelsen 2020. </w:t>
      </w:r>
      <w:r w:rsidDel="00E6007F">
        <w:t xml:space="preserve"> </w:t>
      </w:r>
    </w:p>
  </w:footnote>
  <w:footnote w:id="14">
    <w:p w14:paraId="2A8FEDD6" w14:textId="1286F746" w:rsidR="00E11BA9" w:rsidRDefault="00E11BA9" w:rsidP="00E11BA9">
      <w:pPr>
        <w:pStyle w:val="Kommentartekst"/>
      </w:pPr>
      <w:r>
        <w:rPr>
          <w:rStyle w:val="Fodnotehenvisning"/>
        </w:rPr>
        <w:footnoteRef/>
      </w:r>
      <w:r>
        <w:t xml:space="preserve"> Praksisnært kompetenceløft inden for demensområdet Erfaringer og inspiration fra 10 projekter, Sundhedsstyrelsen 2020. </w:t>
      </w:r>
      <w:r w:rsidDel="00E6007F">
        <w:t xml:space="preserve"> </w:t>
      </w:r>
    </w:p>
    <w:p w14:paraId="3BFCE059" w14:textId="77777777" w:rsidR="00E11BA9" w:rsidRDefault="00E11BA9">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BA7E" w14:textId="77777777" w:rsidR="00306183" w:rsidRDefault="00306183" w:rsidP="006A5505">
    <w:pPr>
      <w:pStyle w:val="Sidehoved"/>
      <w:tabs>
        <w:tab w:val="clear" w:pos="4819"/>
        <w:tab w:val="clear" w:pos="9638"/>
        <w:tab w:val="left" w:pos="66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F66F" w14:textId="77777777" w:rsidR="00306183" w:rsidRDefault="00306183">
    <w:pPr>
      <w:pStyle w:val="Sidehoved"/>
    </w:pPr>
    <w:r>
      <w:rPr>
        <w:noProof/>
      </w:rPr>
      <w:drawing>
        <wp:anchor distT="0" distB="0" distL="114300" distR="114300" simplePos="0" relativeHeight="251660288" behindDoc="1" locked="0" layoutInCell="0" allowOverlap="1" wp14:anchorId="5E217AFA" wp14:editId="4577B564">
          <wp:simplePos x="0" y="0"/>
          <wp:positionH relativeFrom="page">
            <wp:align>center</wp:align>
          </wp:positionH>
          <wp:positionV relativeFrom="page">
            <wp:align>top</wp:align>
          </wp:positionV>
          <wp:extent cx="7559675" cy="1261110"/>
          <wp:effectExtent l="0" t="0" r="0" b="0"/>
          <wp:wrapNone/>
          <wp:docPr id="10" name="SS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61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0" allowOverlap="1" wp14:anchorId="1C769EBD" wp14:editId="0DB4713C">
          <wp:simplePos x="0" y="0"/>
          <wp:positionH relativeFrom="page">
            <wp:align>center</wp:align>
          </wp:positionH>
          <wp:positionV relativeFrom="page">
            <wp:align>top</wp:align>
          </wp:positionV>
          <wp:extent cx="7559675" cy="1261110"/>
          <wp:effectExtent l="0" t="0" r="0" b="0"/>
          <wp:wrapNone/>
          <wp:docPr id="11" name="S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61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AD170"/>
    <w:lvl w:ilvl="0">
      <w:start w:val="1"/>
      <w:numFmt w:val="bullet"/>
      <w:pStyle w:val="Opstilling-punkttegn"/>
      <w:lvlText w:val=""/>
      <w:lvlJc w:val="left"/>
      <w:pPr>
        <w:tabs>
          <w:tab w:val="num" w:pos="567"/>
        </w:tabs>
        <w:ind w:left="567" w:hanging="567"/>
      </w:pPr>
      <w:rPr>
        <w:rFonts w:ascii="Symbol" w:hAnsi="Symbol" w:hint="default"/>
      </w:rPr>
    </w:lvl>
  </w:abstractNum>
  <w:abstractNum w:abstractNumId="1" w15:restartNumberingAfterBreak="0">
    <w:nsid w:val="036E4F45"/>
    <w:multiLevelType w:val="hybridMultilevel"/>
    <w:tmpl w:val="B6905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F47F55"/>
    <w:multiLevelType w:val="hybridMultilevel"/>
    <w:tmpl w:val="6622A4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8FD06C8"/>
    <w:multiLevelType w:val="hybridMultilevel"/>
    <w:tmpl w:val="97003E9C"/>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4" w15:restartNumberingAfterBreak="0">
    <w:nsid w:val="09482D98"/>
    <w:multiLevelType w:val="hybridMultilevel"/>
    <w:tmpl w:val="ADB0C9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27A777C"/>
    <w:multiLevelType w:val="hybridMultilevel"/>
    <w:tmpl w:val="5A9A4B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53C5C87"/>
    <w:multiLevelType w:val="hybridMultilevel"/>
    <w:tmpl w:val="FFD893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E776284"/>
    <w:multiLevelType w:val="hybridMultilevel"/>
    <w:tmpl w:val="395C00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6AF473B"/>
    <w:multiLevelType w:val="hybridMultilevel"/>
    <w:tmpl w:val="BAD88FF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277B6033"/>
    <w:multiLevelType w:val="hybridMultilevel"/>
    <w:tmpl w:val="908CC4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9571F01"/>
    <w:multiLevelType w:val="hybridMultilevel"/>
    <w:tmpl w:val="0F9E6136"/>
    <w:lvl w:ilvl="0" w:tplc="04060011">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DF55764"/>
    <w:multiLevelType w:val="hybridMultilevel"/>
    <w:tmpl w:val="D03E7B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20767C2"/>
    <w:multiLevelType w:val="hybridMultilevel"/>
    <w:tmpl w:val="4C744E9A"/>
    <w:lvl w:ilvl="0" w:tplc="C2A6CFCA">
      <w:start w:val="1"/>
      <w:numFmt w:val="decimal"/>
      <w:pStyle w:val="Opstilling-punktnr"/>
      <w:lvlText w:val="%1."/>
      <w:lvlJc w:val="left"/>
      <w:pPr>
        <w:ind w:left="360" w:hanging="360"/>
      </w:pPr>
      <w:rPr>
        <w:rFonts w:ascii="Times New Roman" w:eastAsia="Times New Roman" w:hAnsi="Times New Roman" w:cs="Times New Roman"/>
        <w:b/>
        <w:i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0681FC4"/>
    <w:multiLevelType w:val="hybridMultilevel"/>
    <w:tmpl w:val="CBE498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41300C3C"/>
    <w:multiLevelType w:val="hybridMultilevel"/>
    <w:tmpl w:val="1A9E6B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3C353EA"/>
    <w:multiLevelType w:val="hybridMultilevel"/>
    <w:tmpl w:val="208027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45CA1294"/>
    <w:multiLevelType w:val="hybridMultilevel"/>
    <w:tmpl w:val="0ABC2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DF3BC3"/>
    <w:multiLevelType w:val="hybridMultilevel"/>
    <w:tmpl w:val="AA343B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6A44F6C"/>
    <w:multiLevelType w:val="hybridMultilevel"/>
    <w:tmpl w:val="347837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6FE4065"/>
    <w:multiLevelType w:val="hybridMultilevel"/>
    <w:tmpl w:val="3E7EC06A"/>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8BB79D6"/>
    <w:multiLevelType w:val="hybridMultilevel"/>
    <w:tmpl w:val="A502F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5F5A19"/>
    <w:multiLevelType w:val="multilevel"/>
    <w:tmpl w:val="177C408E"/>
    <w:lvl w:ilvl="0">
      <w:start w:val="1"/>
      <w:numFmt w:val="bullet"/>
      <w:lvlText w:val="‐"/>
      <w:lvlJc w:val="left"/>
      <w:pPr>
        <w:ind w:left="340" w:hanging="340"/>
      </w:pPr>
      <w:rPr>
        <w:rFonts w:ascii="Calibri" w:hAnsi="Calibri" w:cs="Times New Roman" w:hint="default"/>
      </w:rPr>
    </w:lvl>
    <w:lvl w:ilvl="1">
      <w:start w:val="1"/>
      <w:numFmt w:val="bullet"/>
      <w:lvlText w:val="‐"/>
      <w:lvlJc w:val="left"/>
      <w:pPr>
        <w:ind w:left="680" w:hanging="340"/>
      </w:pPr>
      <w:rPr>
        <w:rFonts w:ascii="Calibri" w:hAnsi="Calibri" w:cs="Times New Roman" w:hint="default"/>
      </w:rPr>
    </w:lvl>
    <w:lvl w:ilvl="2">
      <w:start w:val="1"/>
      <w:numFmt w:val="bullet"/>
      <w:lvlText w:val="‐"/>
      <w:lvlJc w:val="left"/>
      <w:pPr>
        <w:ind w:left="1020" w:hanging="340"/>
      </w:pPr>
      <w:rPr>
        <w:rFonts w:ascii="Calibri" w:hAnsi="Calibri" w:cs="Times New Roman" w:hint="default"/>
      </w:rPr>
    </w:lvl>
    <w:lvl w:ilvl="3">
      <w:start w:val="1"/>
      <w:numFmt w:val="bullet"/>
      <w:lvlText w:val="‐"/>
      <w:lvlJc w:val="left"/>
      <w:pPr>
        <w:ind w:left="1360" w:hanging="340"/>
      </w:pPr>
      <w:rPr>
        <w:rFonts w:ascii="Calibri" w:hAnsi="Calibri" w:cs="Times New Roman" w:hint="default"/>
      </w:rPr>
    </w:lvl>
    <w:lvl w:ilvl="4">
      <w:start w:val="1"/>
      <w:numFmt w:val="lowerLetter"/>
      <w:lvlText w:val="(%5)"/>
      <w:lvlJc w:val="left"/>
      <w:pPr>
        <w:ind w:left="1700" w:hanging="340"/>
      </w:pPr>
    </w:lvl>
    <w:lvl w:ilvl="5">
      <w:start w:val="1"/>
      <w:numFmt w:val="lowerRoman"/>
      <w:lvlText w:val="(%6)"/>
      <w:lvlJc w:val="left"/>
      <w:pPr>
        <w:ind w:left="2040" w:hanging="340"/>
      </w:pPr>
    </w:lvl>
    <w:lvl w:ilvl="6">
      <w:start w:val="1"/>
      <w:numFmt w:val="decimal"/>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22" w15:restartNumberingAfterBreak="0">
    <w:nsid w:val="4EC46B7E"/>
    <w:multiLevelType w:val="hybridMultilevel"/>
    <w:tmpl w:val="FBDE40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FB51799"/>
    <w:multiLevelType w:val="hybridMultilevel"/>
    <w:tmpl w:val="01FA2F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7C61367"/>
    <w:multiLevelType w:val="multilevel"/>
    <w:tmpl w:val="FFD4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705AC"/>
    <w:multiLevelType w:val="hybridMultilevel"/>
    <w:tmpl w:val="79B8F6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CB561FA"/>
    <w:multiLevelType w:val="hybridMultilevel"/>
    <w:tmpl w:val="3ADC73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D265770"/>
    <w:multiLevelType w:val="hybridMultilevel"/>
    <w:tmpl w:val="4E9E7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3A713D"/>
    <w:multiLevelType w:val="hybridMultilevel"/>
    <w:tmpl w:val="4E86FFE6"/>
    <w:lvl w:ilvl="0" w:tplc="98D23BD8">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63410243"/>
    <w:multiLevelType w:val="hybridMultilevel"/>
    <w:tmpl w:val="D604E6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D383936"/>
    <w:multiLevelType w:val="hybridMultilevel"/>
    <w:tmpl w:val="B3FEC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4244EBD"/>
    <w:multiLevelType w:val="hybridMultilevel"/>
    <w:tmpl w:val="F952545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A0902B6"/>
    <w:multiLevelType w:val="hybridMultilevel"/>
    <w:tmpl w:val="5B8C84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7BBF16F5"/>
    <w:multiLevelType w:val="hybridMultilevel"/>
    <w:tmpl w:val="0C68586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D2954F5"/>
    <w:multiLevelType w:val="hybridMultilevel"/>
    <w:tmpl w:val="FDA0B1E4"/>
    <w:lvl w:ilvl="0" w:tplc="04060001">
      <w:start w:val="1"/>
      <w:numFmt w:val="bullet"/>
      <w:lvlText w:val=""/>
      <w:lvlJc w:val="left"/>
      <w:pPr>
        <w:ind w:left="109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9"/>
  </w:num>
  <w:num w:numId="4">
    <w:abstractNumId w:val="10"/>
  </w:num>
  <w:num w:numId="5">
    <w:abstractNumId w:val="0"/>
  </w:num>
  <w:num w:numId="6">
    <w:abstractNumId w:val="13"/>
  </w:num>
  <w:num w:numId="7">
    <w:abstractNumId w:val="2"/>
  </w:num>
  <w:num w:numId="8">
    <w:abstractNumId w:val="24"/>
  </w:num>
  <w:num w:numId="9">
    <w:abstractNumId w:val="8"/>
  </w:num>
  <w:num w:numId="10">
    <w:abstractNumId w:val="22"/>
  </w:num>
  <w:num w:numId="11">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8"/>
  </w:num>
  <w:num w:numId="15">
    <w:abstractNumId w:val="3"/>
  </w:num>
  <w:num w:numId="16">
    <w:abstractNumId w:val="1"/>
  </w:num>
  <w:num w:numId="17">
    <w:abstractNumId w:val="33"/>
  </w:num>
  <w:num w:numId="18">
    <w:abstractNumId w:val="16"/>
  </w:num>
  <w:num w:numId="19">
    <w:abstractNumId w:val="14"/>
  </w:num>
  <w:num w:numId="20">
    <w:abstractNumId w:val="31"/>
  </w:num>
  <w:num w:numId="21">
    <w:abstractNumId w:val="23"/>
  </w:num>
  <w:num w:numId="22">
    <w:abstractNumId w:val="12"/>
  </w:num>
  <w:num w:numId="23">
    <w:abstractNumId w:val="18"/>
  </w:num>
  <w:num w:numId="24">
    <w:abstractNumId w:val="30"/>
  </w:num>
  <w:num w:numId="25">
    <w:abstractNumId w:val="19"/>
  </w:num>
  <w:num w:numId="26">
    <w:abstractNumId w:val="4"/>
  </w:num>
  <w:num w:numId="27">
    <w:abstractNumId w:val="26"/>
  </w:num>
  <w:num w:numId="28">
    <w:abstractNumId w:val="17"/>
  </w:num>
  <w:num w:numId="29">
    <w:abstractNumId w:val="6"/>
  </w:num>
  <w:num w:numId="30">
    <w:abstractNumId w:val="5"/>
  </w:num>
  <w:num w:numId="31">
    <w:abstractNumId w:val="7"/>
  </w:num>
  <w:num w:numId="32">
    <w:abstractNumId w:val="32"/>
  </w:num>
  <w:num w:numId="33">
    <w:abstractNumId w:val="15"/>
  </w:num>
  <w:num w:numId="34">
    <w:abstractNumId w:val="34"/>
  </w:num>
  <w:num w:numId="35">
    <w:abstractNumId w:val="27"/>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14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B7"/>
    <w:rsid w:val="00001E4D"/>
    <w:rsid w:val="00002F0E"/>
    <w:rsid w:val="000041F1"/>
    <w:rsid w:val="00007DA3"/>
    <w:rsid w:val="00010D1B"/>
    <w:rsid w:val="0001100A"/>
    <w:rsid w:val="00011901"/>
    <w:rsid w:val="000121B0"/>
    <w:rsid w:val="0001424F"/>
    <w:rsid w:val="00015C44"/>
    <w:rsid w:val="00016EA7"/>
    <w:rsid w:val="0002222B"/>
    <w:rsid w:val="00022DC9"/>
    <w:rsid w:val="000257C7"/>
    <w:rsid w:val="00025907"/>
    <w:rsid w:val="00025D93"/>
    <w:rsid w:val="00026C5B"/>
    <w:rsid w:val="000303F1"/>
    <w:rsid w:val="00032D1B"/>
    <w:rsid w:val="0003423D"/>
    <w:rsid w:val="00040666"/>
    <w:rsid w:val="00040DA6"/>
    <w:rsid w:val="0004128E"/>
    <w:rsid w:val="00041847"/>
    <w:rsid w:val="00041C35"/>
    <w:rsid w:val="00042442"/>
    <w:rsid w:val="00043BC5"/>
    <w:rsid w:val="00043FE4"/>
    <w:rsid w:val="00045965"/>
    <w:rsid w:val="00050914"/>
    <w:rsid w:val="00050A6A"/>
    <w:rsid w:val="000530BD"/>
    <w:rsid w:val="00053237"/>
    <w:rsid w:val="00056304"/>
    <w:rsid w:val="00060C6D"/>
    <w:rsid w:val="00061DF6"/>
    <w:rsid w:val="00064203"/>
    <w:rsid w:val="00065655"/>
    <w:rsid w:val="000674C1"/>
    <w:rsid w:val="00071962"/>
    <w:rsid w:val="00072987"/>
    <w:rsid w:val="00072D41"/>
    <w:rsid w:val="0007310B"/>
    <w:rsid w:val="00073B7E"/>
    <w:rsid w:val="00074728"/>
    <w:rsid w:val="000748C0"/>
    <w:rsid w:val="00080708"/>
    <w:rsid w:val="00082F01"/>
    <w:rsid w:val="00083258"/>
    <w:rsid w:val="00083415"/>
    <w:rsid w:val="00084276"/>
    <w:rsid w:val="00087734"/>
    <w:rsid w:val="0009010F"/>
    <w:rsid w:val="00093049"/>
    <w:rsid w:val="00097D52"/>
    <w:rsid w:val="000A51A0"/>
    <w:rsid w:val="000B1192"/>
    <w:rsid w:val="000B1545"/>
    <w:rsid w:val="000B1E91"/>
    <w:rsid w:val="000B30CA"/>
    <w:rsid w:val="000B393B"/>
    <w:rsid w:val="000B3E75"/>
    <w:rsid w:val="000C030E"/>
    <w:rsid w:val="000C2874"/>
    <w:rsid w:val="000C5D56"/>
    <w:rsid w:val="000D1486"/>
    <w:rsid w:val="000D1706"/>
    <w:rsid w:val="000D5130"/>
    <w:rsid w:val="000D53EE"/>
    <w:rsid w:val="000D7364"/>
    <w:rsid w:val="000D7723"/>
    <w:rsid w:val="000E0EFE"/>
    <w:rsid w:val="000E3092"/>
    <w:rsid w:val="000E35D2"/>
    <w:rsid w:val="000E38DF"/>
    <w:rsid w:val="000E427C"/>
    <w:rsid w:val="000E45F3"/>
    <w:rsid w:val="000F0219"/>
    <w:rsid w:val="000F0D8C"/>
    <w:rsid w:val="000F1616"/>
    <w:rsid w:val="000F210A"/>
    <w:rsid w:val="000F3A7A"/>
    <w:rsid w:val="000F4061"/>
    <w:rsid w:val="000F718F"/>
    <w:rsid w:val="001010F8"/>
    <w:rsid w:val="00102516"/>
    <w:rsid w:val="00102A81"/>
    <w:rsid w:val="00105AA7"/>
    <w:rsid w:val="00110646"/>
    <w:rsid w:val="00112A8C"/>
    <w:rsid w:val="00114C4E"/>
    <w:rsid w:val="0012204A"/>
    <w:rsid w:val="001232A2"/>
    <w:rsid w:val="00125829"/>
    <w:rsid w:val="001272D3"/>
    <w:rsid w:val="0013230C"/>
    <w:rsid w:val="00134278"/>
    <w:rsid w:val="00134C40"/>
    <w:rsid w:val="00135358"/>
    <w:rsid w:val="0013625C"/>
    <w:rsid w:val="001437BB"/>
    <w:rsid w:val="00143CD4"/>
    <w:rsid w:val="001457B0"/>
    <w:rsid w:val="001502D1"/>
    <w:rsid w:val="00150B00"/>
    <w:rsid w:val="00152886"/>
    <w:rsid w:val="00152B52"/>
    <w:rsid w:val="001530CA"/>
    <w:rsid w:val="0015359C"/>
    <w:rsid w:val="001607B5"/>
    <w:rsid w:val="00171308"/>
    <w:rsid w:val="001715B9"/>
    <w:rsid w:val="0017308D"/>
    <w:rsid w:val="001753E6"/>
    <w:rsid w:val="00175C1D"/>
    <w:rsid w:val="00181232"/>
    <w:rsid w:val="0018167F"/>
    <w:rsid w:val="00182129"/>
    <w:rsid w:val="001827BF"/>
    <w:rsid w:val="0018294B"/>
    <w:rsid w:val="00183392"/>
    <w:rsid w:val="001838AB"/>
    <w:rsid w:val="00183CCB"/>
    <w:rsid w:val="00185991"/>
    <w:rsid w:val="00186432"/>
    <w:rsid w:val="0018654D"/>
    <w:rsid w:val="00190A81"/>
    <w:rsid w:val="00191543"/>
    <w:rsid w:val="00191A03"/>
    <w:rsid w:val="0019306A"/>
    <w:rsid w:val="00193393"/>
    <w:rsid w:val="0019533F"/>
    <w:rsid w:val="00197498"/>
    <w:rsid w:val="001A2362"/>
    <w:rsid w:val="001A3879"/>
    <w:rsid w:val="001A4335"/>
    <w:rsid w:val="001A5E8A"/>
    <w:rsid w:val="001A66FD"/>
    <w:rsid w:val="001A759F"/>
    <w:rsid w:val="001B04C6"/>
    <w:rsid w:val="001B3A1B"/>
    <w:rsid w:val="001B5C19"/>
    <w:rsid w:val="001B636F"/>
    <w:rsid w:val="001C2C25"/>
    <w:rsid w:val="001C3C50"/>
    <w:rsid w:val="001C5F2B"/>
    <w:rsid w:val="001C60AF"/>
    <w:rsid w:val="001C69BB"/>
    <w:rsid w:val="001D050C"/>
    <w:rsid w:val="001D1196"/>
    <w:rsid w:val="001D401F"/>
    <w:rsid w:val="001D6A48"/>
    <w:rsid w:val="001E1067"/>
    <w:rsid w:val="001E1274"/>
    <w:rsid w:val="001E269A"/>
    <w:rsid w:val="001E2804"/>
    <w:rsid w:val="001E4283"/>
    <w:rsid w:val="001E5590"/>
    <w:rsid w:val="001E5C70"/>
    <w:rsid w:val="001F2170"/>
    <w:rsid w:val="001F2E17"/>
    <w:rsid w:val="001F769C"/>
    <w:rsid w:val="001F7704"/>
    <w:rsid w:val="00200D57"/>
    <w:rsid w:val="00201249"/>
    <w:rsid w:val="002016CF"/>
    <w:rsid w:val="002021B8"/>
    <w:rsid w:val="00203D9B"/>
    <w:rsid w:val="00204EA1"/>
    <w:rsid w:val="0020626E"/>
    <w:rsid w:val="00210EE1"/>
    <w:rsid w:val="00211E67"/>
    <w:rsid w:val="00212936"/>
    <w:rsid w:val="00213A86"/>
    <w:rsid w:val="00214F5D"/>
    <w:rsid w:val="0021581C"/>
    <w:rsid w:val="00220AC0"/>
    <w:rsid w:val="00220BC2"/>
    <w:rsid w:val="002259DE"/>
    <w:rsid w:val="00227846"/>
    <w:rsid w:val="002314A2"/>
    <w:rsid w:val="00232231"/>
    <w:rsid w:val="002332C3"/>
    <w:rsid w:val="0023351F"/>
    <w:rsid w:val="00233AB0"/>
    <w:rsid w:val="002366B9"/>
    <w:rsid w:val="0024403C"/>
    <w:rsid w:val="00244D19"/>
    <w:rsid w:val="002462DF"/>
    <w:rsid w:val="00247C5A"/>
    <w:rsid w:val="002567FE"/>
    <w:rsid w:val="00260D96"/>
    <w:rsid w:val="00261973"/>
    <w:rsid w:val="00261FD4"/>
    <w:rsid w:val="0026542E"/>
    <w:rsid w:val="002657E6"/>
    <w:rsid w:val="002704C6"/>
    <w:rsid w:val="00270E58"/>
    <w:rsid w:val="0027160C"/>
    <w:rsid w:val="0027192B"/>
    <w:rsid w:val="00272B3F"/>
    <w:rsid w:val="00273DC6"/>
    <w:rsid w:val="002741E9"/>
    <w:rsid w:val="0027570E"/>
    <w:rsid w:val="0027777B"/>
    <w:rsid w:val="00277969"/>
    <w:rsid w:val="00283C85"/>
    <w:rsid w:val="00285D4D"/>
    <w:rsid w:val="00286DE5"/>
    <w:rsid w:val="002871CB"/>
    <w:rsid w:val="00293D6E"/>
    <w:rsid w:val="00294F1D"/>
    <w:rsid w:val="00295D4A"/>
    <w:rsid w:val="00295EFB"/>
    <w:rsid w:val="00297025"/>
    <w:rsid w:val="00297971"/>
    <w:rsid w:val="002A2975"/>
    <w:rsid w:val="002A47C5"/>
    <w:rsid w:val="002B145F"/>
    <w:rsid w:val="002B154F"/>
    <w:rsid w:val="002B7342"/>
    <w:rsid w:val="002C3CA6"/>
    <w:rsid w:val="002C61B9"/>
    <w:rsid w:val="002C7BDD"/>
    <w:rsid w:val="002D084A"/>
    <w:rsid w:val="002D5678"/>
    <w:rsid w:val="002E06C4"/>
    <w:rsid w:val="002E0867"/>
    <w:rsid w:val="002E0CF0"/>
    <w:rsid w:val="002E65EE"/>
    <w:rsid w:val="002E6D17"/>
    <w:rsid w:val="002E7470"/>
    <w:rsid w:val="002F30E8"/>
    <w:rsid w:val="002F371B"/>
    <w:rsid w:val="002F3CBD"/>
    <w:rsid w:val="002F41F3"/>
    <w:rsid w:val="00300E06"/>
    <w:rsid w:val="003023FC"/>
    <w:rsid w:val="0030540F"/>
    <w:rsid w:val="00305421"/>
    <w:rsid w:val="00305F41"/>
    <w:rsid w:val="0030601F"/>
    <w:rsid w:val="00306183"/>
    <w:rsid w:val="00306306"/>
    <w:rsid w:val="0030667F"/>
    <w:rsid w:val="0030756C"/>
    <w:rsid w:val="003120A0"/>
    <w:rsid w:val="00313518"/>
    <w:rsid w:val="00321E2C"/>
    <w:rsid w:val="003237A4"/>
    <w:rsid w:val="00326538"/>
    <w:rsid w:val="00326CF0"/>
    <w:rsid w:val="00327198"/>
    <w:rsid w:val="003310A3"/>
    <w:rsid w:val="003310BB"/>
    <w:rsid w:val="0033122B"/>
    <w:rsid w:val="00332746"/>
    <w:rsid w:val="003343F2"/>
    <w:rsid w:val="00335DB2"/>
    <w:rsid w:val="00336798"/>
    <w:rsid w:val="00336CA2"/>
    <w:rsid w:val="003379B3"/>
    <w:rsid w:val="00341369"/>
    <w:rsid w:val="003448CD"/>
    <w:rsid w:val="0034781D"/>
    <w:rsid w:val="00347F65"/>
    <w:rsid w:val="00350425"/>
    <w:rsid w:val="00351F2A"/>
    <w:rsid w:val="00353089"/>
    <w:rsid w:val="0036174F"/>
    <w:rsid w:val="00361847"/>
    <w:rsid w:val="00363555"/>
    <w:rsid w:val="003644A8"/>
    <w:rsid w:val="00365C9A"/>
    <w:rsid w:val="00367671"/>
    <w:rsid w:val="00367E65"/>
    <w:rsid w:val="003747E0"/>
    <w:rsid w:val="003751DF"/>
    <w:rsid w:val="00382342"/>
    <w:rsid w:val="00385E47"/>
    <w:rsid w:val="00390339"/>
    <w:rsid w:val="0039212B"/>
    <w:rsid w:val="00394696"/>
    <w:rsid w:val="00397C11"/>
    <w:rsid w:val="003A05F1"/>
    <w:rsid w:val="003A0E8B"/>
    <w:rsid w:val="003A614C"/>
    <w:rsid w:val="003A644D"/>
    <w:rsid w:val="003A750E"/>
    <w:rsid w:val="003B30C1"/>
    <w:rsid w:val="003B4D91"/>
    <w:rsid w:val="003B6BF4"/>
    <w:rsid w:val="003B6C7A"/>
    <w:rsid w:val="003B76C7"/>
    <w:rsid w:val="003C1854"/>
    <w:rsid w:val="003C1DC2"/>
    <w:rsid w:val="003C570F"/>
    <w:rsid w:val="003C6AAA"/>
    <w:rsid w:val="003D242A"/>
    <w:rsid w:val="003D33F5"/>
    <w:rsid w:val="003D5FB7"/>
    <w:rsid w:val="003E13CC"/>
    <w:rsid w:val="003E1BCD"/>
    <w:rsid w:val="003E1E46"/>
    <w:rsid w:val="003E33E1"/>
    <w:rsid w:val="003E48AB"/>
    <w:rsid w:val="003E4B7E"/>
    <w:rsid w:val="003F08D5"/>
    <w:rsid w:val="003F0FBF"/>
    <w:rsid w:val="003F44AD"/>
    <w:rsid w:val="003F4ADF"/>
    <w:rsid w:val="003F6CEC"/>
    <w:rsid w:val="003F710E"/>
    <w:rsid w:val="004019D6"/>
    <w:rsid w:val="00403EB0"/>
    <w:rsid w:val="00405A0C"/>
    <w:rsid w:val="0041051B"/>
    <w:rsid w:val="00411C2D"/>
    <w:rsid w:val="00412640"/>
    <w:rsid w:val="00412F88"/>
    <w:rsid w:val="004149DA"/>
    <w:rsid w:val="00416740"/>
    <w:rsid w:val="004221AE"/>
    <w:rsid w:val="0042226F"/>
    <w:rsid w:val="00422400"/>
    <w:rsid w:val="0042252C"/>
    <w:rsid w:val="004227DB"/>
    <w:rsid w:val="004233F1"/>
    <w:rsid w:val="00427D1A"/>
    <w:rsid w:val="00433D7A"/>
    <w:rsid w:val="004377BF"/>
    <w:rsid w:val="00437EBA"/>
    <w:rsid w:val="0044190F"/>
    <w:rsid w:val="00442247"/>
    <w:rsid w:val="00442CDC"/>
    <w:rsid w:val="00446C76"/>
    <w:rsid w:val="0045353A"/>
    <w:rsid w:val="00454231"/>
    <w:rsid w:val="00454372"/>
    <w:rsid w:val="00455940"/>
    <w:rsid w:val="00461ED2"/>
    <w:rsid w:val="004631AD"/>
    <w:rsid w:val="00464DC7"/>
    <w:rsid w:val="00465B65"/>
    <w:rsid w:val="00473808"/>
    <w:rsid w:val="004809E0"/>
    <w:rsid w:val="00487137"/>
    <w:rsid w:val="00491D97"/>
    <w:rsid w:val="00491FCC"/>
    <w:rsid w:val="00496F63"/>
    <w:rsid w:val="004A0309"/>
    <w:rsid w:val="004A0446"/>
    <w:rsid w:val="004A1598"/>
    <w:rsid w:val="004A280F"/>
    <w:rsid w:val="004A45B0"/>
    <w:rsid w:val="004A63AC"/>
    <w:rsid w:val="004B0342"/>
    <w:rsid w:val="004B3A99"/>
    <w:rsid w:val="004B5405"/>
    <w:rsid w:val="004C0E6F"/>
    <w:rsid w:val="004C26E0"/>
    <w:rsid w:val="004C27F9"/>
    <w:rsid w:val="004C39CD"/>
    <w:rsid w:val="004D0CEC"/>
    <w:rsid w:val="004D18D2"/>
    <w:rsid w:val="004D3121"/>
    <w:rsid w:val="004D4A52"/>
    <w:rsid w:val="004E19FD"/>
    <w:rsid w:val="004E23F8"/>
    <w:rsid w:val="004E2962"/>
    <w:rsid w:val="004E3C19"/>
    <w:rsid w:val="004E515A"/>
    <w:rsid w:val="004E61A7"/>
    <w:rsid w:val="004F1431"/>
    <w:rsid w:val="004F1BB4"/>
    <w:rsid w:val="004F29DB"/>
    <w:rsid w:val="004F2BD1"/>
    <w:rsid w:val="004F428A"/>
    <w:rsid w:val="004F6674"/>
    <w:rsid w:val="004F707C"/>
    <w:rsid w:val="004F77D7"/>
    <w:rsid w:val="00500709"/>
    <w:rsid w:val="00502640"/>
    <w:rsid w:val="005040B8"/>
    <w:rsid w:val="00505E6C"/>
    <w:rsid w:val="00505FE6"/>
    <w:rsid w:val="005067A6"/>
    <w:rsid w:val="00506DC1"/>
    <w:rsid w:val="005114F0"/>
    <w:rsid w:val="00513F4E"/>
    <w:rsid w:val="00515005"/>
    <w:rsid w:val="0051710A"/>
    <w:rsid w:val="00517465"/>
    <w:rsid w:val="005211AA"/>
    <w:rsid w:val="00523BB4"/>
    <w:rsid w:val="00525629"/>
    <w:rsid w:val="00541EF4"/>
    <w:rsid w:val="0054590C"/>
    <w:rsid w:val="0054708E"/>
    <w:rsid w:val="00547C7E"/>
    <w:rsid w:val="00550C06"/>
    <w:rsid w:val="0055131D"/>
    <w:rsid w:val="0055288F"/>
    <w:rsid w:val="0055491A"/>
    <w:rsid w:val="00555681"/>
    <w:rsid w:val="00555DC4"/>
    <w:rsid w:val="0055670F"/>
    <w:rsid w:val="00560F41"/>
    <w:rsid w:val="00561B41"/>
    <w:rsid w:val="005632A2"/>
    <w:rsid w:val="00565DBA"/>
    <w:rsid w:val="00566A88"/>
    <w:rsid w:val="005722D6"/>
    <w:rsid w:val="00575B09"/>
    <w:rsid w:val="00575CFC"/>
    <w:rsid w:val="0057717A"/>
    <w:rsid w:val="00580267"/>
    <w:rsid w:val="00580A9B"/>
    <w:rsid w:val="005820D7"/>
    <w:rsid w:val="00582792"/>
    <w:rsid w:val="00583730"/>
    <w:rsid w:val="00584292"/>
    <w:rsid w:val="005851E1"/>
    <w:rsid w:val="00587EE5"/>
    <w:rsid w:val="00590896"/>
    <w:rsid w:val="00590AF9"/>
    <w:rsid w:val="00591A80"/>
    <w:rsid w:val="00592282"/>
    <w:rsid w:val="00592AAC"/>
    <w:rsid w:val="005A07FB"/>
    <w:rsid w:val="005A129B"/>
    <w:rsid w:val="005A2616"/>
    <w:rsid w:val="005A2FF6"/>
    <w:rsid w:val="005A4475"/>
    <w:rsid w:val="005A48A2"/>
    <w:rsid w:val="005A589F"/>
    <w:rsid w:val="005A6F93"/>
    <w:rsid w:val="005A7C7D"/>
    <w:rsid w:val="005B1B14"/>
    <w:rsid w:val="005B1E49"/>
    <w:rsid w:val="005B2D36"/>
    <w:rsid w:val="005B2EBB"/>
    <w:rsid w:val="005B3B77"/>
    <w:rsid w:val="005B48B0"/>
    <w:rsid w:val="005B4BF7"/>
    <w:rsid w:val="005C0604"/>
    <w:rsid w:val="005C0B91"/>
    <w:rsid w:val="005C17AC"/>
    <w:rsid w:val="005C1EEF"/>
    <w:rsid w:val="005C26DC"/>
    <w:rsid w:val="005C3985"/>
    <w:rsid w:val="005C624F"/>
    <w:rsid w:val="005D2FA6"/>
    <w:rsid w:val="005E026D"/>
    <w:rsid w:val="005E2207"/>
    <w:rsid w:val="005E290A"/>
    <w:rsid w:val="005E2F0F"/>
    <w:rsid w:val="005E3F95"/>
    <w:rsid w:val="005E5FC1"/>
    <w:rsid w:val="005E78B3"/>
    <w:rsid w:val="005F08FA"/>
    <w:rsid w:val="00600931"/>
    <w:rsid w:val="00602945"/>
    <w:rsid w:val="006079E4"/>
    <w:rsid w:val="00610690"/>
    <w:rsid w:val="0061069C"/>
    <w:rsid w:val="00611F47"/>
    <w:rsid w:val="006122A3"/>
    <w:rsid w:val="00615966"/>
    <w:rsid w:val="006172D7"/>
    <w:rsid w:val="00620658"/>
    <w:rsid w:val="00624303"/>
    <w:rsid w:val="00635579"/>
    <w:rsid w:val="0063563D"/>
    <w:rsid w:val="00637407"/>
    <w:rsid w:val="00640013"/>
    <w:rsid w:val="0064359E"/>
    <w:rsid w:val="006448D4"/>
    <w:rsid w:val="006450B7"/>
    <w:rsid w:val="006479C9"/>
    <w:rsid w:val="006506FB"/>
    <w:rsid w:val="00653E90"/>
    <w:rsid w:val="00655ECC"/>
    <w:rsid w:val="00655FAF"/>
    <w:rsid w:val="00657847"/>
    <w:rsid w:val="006625AE"/>
    <w:rsid w:val="00662A63"/>
    <w:rsid w:val="00662F7E"/>
    <w:rsid w:val="006631A8"/>
    <w:rsid w:val="006706DB"/>
    <w:rsid w:val="00680028"/>
    <w:rsid w:val="006807A3"/>
    <w:rsid w:val="00680DF3"/>
    <w:rsid w:val="00681CC4"/>
    <w:rsid w:val="00685224"/>
    <w:rsid w:val="006870DA"/>
    <w:rsid w:val="00690DD0"/>
    <w:rsid w:val="00691370"/>
    <w:rsid w:val="00693008"/>
    <w:rsid w:val="00693544"/>
    <w:rsid w:val="00695ED2"/>
    <w:rsid w:val="006A27A5"/>
    <w:rsid w:val="006A5505"/>
    <w:rsid w:val="006B0A2A"/>
    <w:rsid w:val="006B0DA0"/>
    <w:rsid w:val="006B4336"/>
    <w:rsid w:val="006B654F"/>
    <w:rsid w:val="006B7A7B"/>
    <w:rsid w:val="006C0675"/>
    <w:rsid w:val="006C0EC7"/>
    <w:rsid w:val="006C2F03"/>
    <w:rsid w:val="006D09F2"/>
    <w:rsid w:val="006D3148"/>
    <w:rsid w:val="006E02F8"/>
    <w:rsid w:val="006E2EC5"/>
    <w:rsid w:val="006E48F2"/>
    <w:rsid w:val="006E5E7A"/>
    <w:rsid w:val="006E630F"/>
    <w:rsid w:val="006F0488"/>
    <w:rsid w:val="006F135F"/>
    <w:rsid w:val="006F69C4"/>
    <w:rsid w:val="006F7A5C"/>
    <w:rsid w:val="0070021B"/>
    <w:rsid w:val="00700A58"/>
    <w:rsid w:val="00700F92"/>
    <w:rsid w:val="00701021"/>
    <w:rsid w:val="0070500C"/>
    <w:rsid w:val="0070693D"/>
    <w:rsid w:val="0071001D"/>
    <w:rsid w:val="00710957"/>
    <w:rsid w:val="00711AD1"/>
    <w:rsid w:val="00711E87"/>
    <w:rsid w:val="007123C7"/>
    <w:rsid w:val="00712E21"/>
    <w:rsid w:val="0071382E"/>
    <w:rsid w:val="00714C9C"/>
    <w:rsid w:val="0071654A"/>
    <w:rsid w:val="00716DC0"/>
    <w:rsid w:val="0071730E"/>
    <w:rsid w:val="00720ED2"/>
    <w:rsid w:val="00722FBC"/>
    <w:rsid w:val="0072351D"/>
    <w:rsid w:val="00724DFC"/>
    <w:rsid w:val="00725410"/>
    <w:rsid w:val="007266BB"/>
    <w:rsid w:val="00726908"/>
    <w:rsid w:val="00727F4F"/>
    <w:rsid w:val="00732CC4"/>
    <w:rsid w:val="007365E8"/>
    <w:rsid w:val="00736D70"/>
    <w:rsid w:val="0073765B"/>
    <w:rsid w:val="00745DEC"/>
    <w:rsid w:val="00750E6E"/>
    <w:rsid w:val="007566A4"/>
    <w:rsid w:val="0075692A"/>
    <w:rsid w:val="00760CB9"/>
    <w:rsid w:val="00763805"/>
    <w:rsid w:val="00765906"/>
    <w:rsid w:val="00765EC7"/>
    <w:rsid w:val="00767AC5"/>
    <w:rsid w:val="00770652"/>
    <w:rsid w:val="00770EC4"/>
    <w:rsid w:val="0077445B"/>
    <w:rsid w:val="00781B4C"/>
    <w:rsid w:val="00786312"/>
    <w:rsid w:val="00786CEA"/>
    <w:rsid w:val="00787238"/>
    <w:rsid w:val="007877B1"/>
    <w:rsid w:val="00792A95"/>
    <w:rsid w:val="00793BBA"/>
    <w:rsid w:val="00794137"/>
    <w:rsid w:val="007955D6"/>
    <w:rsid w:val="007957E3"/>
    <w:rsid w:val="007967E0"/>
    <w:rsid w:val="00797007"/>
    <w:rsid w:val="007A1059"/>
    <w:rsid w:val="007A3FD1"/>
    <w:rsid w:val="007A42A4"/>
    <w:rsid w:val="007A4E8A"/>
    <w:rsid w:val="007B027B"/>
    <w:rsid w:val="007B0EE7"/>
    <w:rsid w:val="007B4082"/>
    <w:rsid w:val="007B4B36"/>
    <w:rsid w:val="007B5F6C"/>
    <w:rsid w:val="007B616B"/>
    <w:rsid w:val="007B7C17"/>
    <w:rsid w:val="007C044D"/>
    <w:rsid w:val="007C382F"/>
    <w:rsid w:val="007C57DD"/>
    <w:rsid w:val="007C6C71"/>
    <w:rsid w:val="007D5B8D"/>
    <w:rsid w:val="007D633F"/>
    <w:rsid w:val="007D7EDB"/>
    <w:rsid w:val="007E0189"/>
    <w:rsid w:val="007E6A03"/>
    <w:rsid w:val="007E74EF"/>
    <w:rsid w:val="007F2654"/>
    <w:rsid w:val="007F3250"/>
    <w:rsid w:val="007F5B1B"/>
    <w:rsid w:val="007F6559"/>
    <w:rsid w:val="007F7DF4"/>
    <w:rsid w:val="008008C7"/>
    <w:rsid w:val="00802A4C"/>
    <w:rsid w:val="0080354A"/>
    <w:rsid w:val="00806911"/>
    <w:rsid w:val="0081022C"/>
    <w:rsid w:val="00810B66"/>
    <w:rsid w:val="00811092"/>
    <w:rsid w:val="00813095"/>
    <w:rsid w:val="00815429"/>
    <w:rsid w:val="00815628"/>
    <w:rsid w:val="00817DB2"/>
    <w:rsid w:val="00817ED5"/>
    <w:rsid w:val="0082036F"/>
    <w:rsid w:val="00824532"/>
    <w:rsid w:val="00824776"/>
    <w:rsid w:val="00824C4C"/>
    <w:rsid w:val="00826753"/>
    <w:rsid w:val="00831265"/>
    <w:rsid w:val="00832004"/>
    <w:rsid w:val="00836994"/>
    <w:rsid w:val="00836AE4"/>
    <w:rsid w:val="0084247F"/>
    <w:rsid w:val="0084589C"/>
    <w:rsid w:val="00847637"/>
    <w:rsid w:val="00852726"/>
    <w:rsid w:val="00854616"/>
    <w:rsid w:val="00855111"/>
    <w:rsid w:val="00855315"/>
    <w:rsid w:val="00856294"/>
    <w:rsid w:val="00861BC5"/>
    <w:rsid w:val="00861C6E"/>
    <w:rsid w:val="00864687"/>
    <w:rsid w:val="0086490A"/>
    <w:rsid w:val="008650E5"/>
    <w:rsid w:val="00866538"/>
    <w:rsid w:val="008677F8"/>
    <w:rsid w:val="008713DC"/>
    <w:rsid w:val="00872C77"/>
    <w:rsid w:val="00873FF8"/>
    <w:rsid w:val="0087477D"/>
    <w:rsid w:val="00874BED"/>
    <w:rsid w:val="008820E3"/>
    <w:rsid w:val="00884E28"/>
    <w:rsid w:val="008851CD"/>
    <w:rsid w:val="00892AF7"/>
    <w:rsid w:val="00895AB7"/>
    <w:rsid w:val="00896FB2"/>
    <w:rsid w:val="00897898"/>
    <w:rsid w:val="008A166E"/>
    <w:rsid w:val="008A2D0C"/>
    <w:rsid w:val="008A3BB1"/>
    <w:rsid w:val="008A6431"/>
    <w:rsid w:val="008A7135"/>
    <w:rsid w:val="008B043F"/>
    <w:rsid w:val="008B20FE"/>
    <w:rsid w:val="008B2329"/>
    <w:rsid w:val="008B2FD0"/>
    <w:rsid w:val="008B62D1"/>
    <w:rsid w:val="008B634D"/>
    <w:rsid w:val="008C069E"/>
    <w:rsid w:val="008C1A42"/>
    <w:rsid w:val="008C715E"/>
    <w:rsid w:val="008C7A42"/>
    <w:rsid w:val="008D019C"/>
    <w:rsid w:val="008D2371"/>
    <w:rsid w:val="008D5962"/>
    <w:rsid w:val="008E5F81"/>
    <w:rsid w:val="008E604C"/>
    <w:rsid w:val="008E63E7"/>
    <w:rsid w:val="008E6657"/>
    <w:rsid w:val="008E75E6"/>
    <w:rsid w:val="008F17C5"/>
    <w:rsid w:val="008F4037"/>
    <w:rsid w:val="008F58A3"/>
    <w:rsid w:val="008F6893"/>
    <w:rsid w:val="008F75B0"/>
    <w:rsid w:val="00902190"/>
    <w:rsid w:val="00904701"/>
    <w:rsid w:val="00912E0F"/>
    <w:rsid w:val="00912EFE"/>
    <w:rsid w:val="00913946"/>
    <w:rsid w:val="00914800"/>
    <w:rsid w:val="0091783D"/>
    <w:rsid w:val="00922F01"/>
    <w:rsid w:val="009268CC"/>
    <w:rsid w:val="00930598"/>
    <w:rsid w:val="00933971"/>
    <w:rsid w:val="009348DC"/>
    <w:rsid w:val="00941CFF"/>
    <w:rsid w:val="00942B21"/>
    <w:rsid w:val="0094364D"/>
    <w:rsid w:val="0094427A"/>
    <w:rsid w:val="00944E37"/>
    <w:rsid w:val="009454D0"/>
    <w:rsid w:val="0094618F"/>
    <w:rsid w:val="00946A9B"/>
    <w:rsid w:val="0095163B"/>
    <w:rsid w:val="009528FD"/>
    <w:rsid w:val="0095568B"/>
    <w:rsid w:val="009579BD"/>
    <w:rsid w:val="00957D1D"/>
    <w:rsid w:val="00960B06"/>
    <w:rsid w:val="009628A4"/>
    <w:rsid w:val="009644A9"/>
    <w:rsid w:val="00967716"/>
    <w:rsid w:val="0096776F"/>
    <w:rsid w:val="009700A8"/>
    <w:rsid w:val="00971659"/>
    <w:rsid w:val="00976A14"/>
    <w:rsid w:val="009806BC"/>
    <w:rsid w:val="00980A46"/>
    <w:rsid w:val="00980E8A"/>
    <w:rsid w:val="0098222C"/>
    <w:rsid w:val="009823FB"/>
    <w:rsid w:val="00986DDC"/>
    <w:rsid w:val="00991779"/>
    <w:rsid w:val="00992698"/>
    <w:rsid w:val="009938C3"/>
    <w:rsid w:val="00995F95"/>
    <w:rsid w:val="009A080F"/>
    <w:rsid w:val="009A114D"/>
    <w:rsid w:val="009A3D2A"/>
    <w:rsid w:val="009A3F5B"/>
    <w:rsid w:val="009A53E0"/>
    <w:rsid w:val="009A56E4"/>
    <w:rsid w:val="009A58AD"/>
    <w:rsid w:val="009A71A3"/>
    <w:rsid w:val="009A7604"/>
    <w:rsid w:val="009B0041"/>
    <w:rsid w:val="009B1E95"/>
    <w:rsid w:val="009B2ECF"/>
    <w:rsid w:val="009B3B3A"/>
    <w:rsid w:val="009B4848"/>
    <w:rsid w:val="009B7FFD"/>
    <w:rsid w:val="009C14E5"/>
    <w:rsid w:val="009C6DB9"/>
    <w:rsid w:val="009C6E1B"/>
    <w:rsid w:val="009D035A"/>
    <w:rsid w:val="009D2978"/>
    <w:rsid w:val="009D2F06"/>
    <w:rsid w:val="009D4038"/>
    <w:rsid w:val="009D53CF"/>
    <w:rsid w:val="009D5950"/>
    <w:rsid w:val="009D6C5A"/>
    <w:rsid w:val="009D6EC1"/>
    <w:rsid w:val="009E09F8"/>
    <w:rsid w:val="009E21F5"/>
    <w:rsid w:val="009E2968"/>
    <w:rsid w:val="009E3D34"/>
    <w:rsid w:val="009E5228"/>
    <w:rsid w:val="009E6BA6"/>
    <w:rsid w:val="009F1A6B"/>
    <w:rsid w:val="009F3E39"/>
    <w:rsid w:val="009F5F55"/>
    <w:rsid w:val="009F7648"/>
    <w:rsid w:val="009F7B54"/>
    <w:rsid w:val="00A00C57"/>
    <w:rsid w:val="00A01A4D"/>
    <w:rsid w:val="00A01FFB"/>
    <w:rsid w:val="00A02E50"/>
    <w:rsid w:val="00A12F88"/>
    <w:rsid w:val="00A139E2"/>
    <w:rsid w:val="00A14112"/>
    <w:rsid w:val="00A15BEF"/>
    <w:rsid w:val="00A169D0"/>
    <w:rsid w:val="00A17E70"/>
    <w:rsid w:val="00A22AE6"/>
    <w:rsid w:val="00A250CC"/>
    <w:rsid w:val="00A256E1"/>
    <w:rsid w:val="00A321CB"/>
    <w:rsid w:val="00A339C9"/>
    <w:rsid w:val="00A3549D"/>
    <w:rsid w:val="00A361B9"/>
    <w:rsid w:val="00A3620E"/>
    <w:rsid w:val="00A36471"/>
    <w:rsid w:val="00A41B94"/>
    <w:rsid w:val="00A50A80"/>
    <w:rsid w:val="00A52BBB"/>
    <w:rsid w:val="00A544E9"/>
    <w:rsid w:val="00A567EE"/>
    <w:rsid w:val="00A56875"/>
    <w:rsid w:val="00A56A79"/>
    <w:rsid w:val="00A60E41"/>
    <w:rsid w:val="00A632A6"/>
    <w:rsid w:val="00A64687"/>
    <w:rsid w:val="00A65199"/>
    <w:rsid w:val="00A66345"/>
    <w:rsid w:val="00A666F5"/>
    <w:rsid w:val="00A674CF"/>
    <w:rsid w:val="00A715E8"/>
    <w:rsid w:val="00A716B7"/>
    <w:rsid w:val="00A71C2C"/>
    <w:rsid w:val="00A7371C"/>
    <w:rsid w:val="00A84B93"/>
    <w:rsid w:val="00A872D1"/>
    <w:rsid w:val="00A87758"/>
    <w:rsid w:val="00A87DD1"/>
    <w:rsid w:val="00A91B81"/>
    <w:rsid w:val="00A926D3"/>
    <w:rsid w:val="00A931E8"/>
    <w:rsid w:val="00A9381A"/>
    <w:rsid w:val="00A95BAF"/>
    <w:rsid w:val="00AA4F59"/>
    <w:rsid w:val="00AA5C6C"/>
    <w:rsid w:val="00AA66CB"/>
    <w:rsid w:val="00AA73B0"/>
    <w:rsid w:val="00AB0748"/>
    <w:rsid w:val="00AB105D"/>
    <w:rsid w:val="00AB4970"/>
    <w:rsid w:val="00AB49F5"/>
    <w:rsid w:val="00AB5091"/>
    <w:rsid w:val="00AC2313"/>
    <w:rsid w:val="00AD0D93"/>
    <w:rsid w:val="00AD1B84"/>
    <w:rsid w:val="00AD23AC"/>
    <w:rsid w:val="00AD3955"/>
    <w:rsid w:val="00AE364C"/>
    <w:rsid w:val="00AE53F4"/>
    <w:rsid w:val="00AE5DC1"/>
    <w:rsid w:val="00AE6406"/>
    <w:rsid w:val="00AE6C8A"/>
    <w:rsid w:val="00AF25EE"/>
    <w:rsid w:val="00AF49FA"/>
    <w:rsid w:val="00B00B1B"/>
    <w:rsid w:val="00B01D2D"/>
    <w:rsid w:val="00B053F5"/>
    <w:rsid w:val="00B057F7"/>
    <w:rsid w:val="00B07209"/>
    <w:rsid w:val="00B131A1"/>
    <w:rsid w:val="00B13B6B"/>
    <w:rsid w:val="00B15258"/>
    <w:rsid w:val="00B178B2"/>
    <w:rsid w:val="00B21976"/>
    <w:rsid w:val="00B22627"/>
    <w:rsid w:val="00B238D8"/>
    <w:rsid w:val="00B23C5F"/>
    <w:rsid w:val="00B26226"/>
    <w:rsid w:val="00B310AB"/>
    <w:rsid w:val="00B340EB"/>
    <w:rsid w:val="00B34395"/>
    <w:rsid w:val="00B34EC3"/>
    <w:rsid w:val="00B356FD"/>
    <w:rsid w:val="00B41677"/>
    <w:rsid w:val="00B46080"/>
    <w:rsid w:val="00B46251"/>
    <w:rsid w:val="00B477FC"/>
    <w:rsid w:val="00B5046E"/>
    <w:rsid w:val="00B50739"/>
    <w:rsid w:val="00B50E8C"/>
    <w:rsid w:val="00B62EB3"/>
    <w:rsid w:val="00B63937"/>
    <w:rsid w:val="00B65260"/>
    <w:rsid w:val="00B70BBA"/>
    <w:rsid w:val="00B746AF"/>
    <w:rsid w:val="00B746E2"/>
    <w:rsid w:val="00B77A15"/>
    <w:rsid w:val="00B77D42"/>
    <w:rsid w:val="00B84389"/>
    <w:rsid w:val="00B85420"/>
    <w:rsid w:val="00B860BF"/>
    <w:rsid w:val="00B86FD5"/>
    <w:rsid w:val="00B907A5"/>
    <w:rsid w:val="00B91243"/>
    <w:rsid w:val="00B91368"/>
    <w:rsid w:val="00B91DC7"/>
    <w:rsid w:val="00B946B9"/>
    <w:rsid w:val="00B97EBA"/>
    <w:rsid w:val="00BA3793"/>
    <w:rsid w:val="00BA3A51"/>
    <w:rsid w:val="00BA601E"/>
    <w:rsid w:val="00BA6AD4"/>
    <w:rsid w:val="00BA7BA0"/>
    <w:rsid w:val="00BB0934"/>
    <w:rsid w:val="00BB148B"/>
    <w:rsid w:val="00BC0D3D"/>
    <w:rsid w:val="00BC2A6C"/>
    <w:rsid w:val="00BC46E7"/>
    <w:rsid w:val="00BC7C20"/>
    <w:rsid w:val="00BD02CC"/>
    <w:rsid w:val="00BD6437"/>
    <w:rsid w:val="00BD65EC"/>
    <w:rsid w:val="00BD6800"/>
    <w:rsid w:val="00BE0027"/>
    <w:rsid w:val="00BE0DFD"/>
    <w:rsid w:val="00BE13FB"/>
    <w:rsid w:val="00BE3E10"/>
    <w:rsid w:val="00BE4555"/>
    <w:rsid w:val="00BE4858"/>
    <w:rsid w:val="00BE5599"/>
    <w:rsid w:val="00BE7729"/>
    <w:rsid w:val="00BE7773"/>
    <w:rsid w:val="00BF1429"/>
    <w:rsid w:val="00BF20B7"/>
    <w:rsid w:val="00BF2286"/>
    <w:rsid w:val="00BF3F1B"/>
    <w:rsid w:val="00BF5FBA"/>
    <w:rsid w:val="00BF6784"/>
    <w:rsid w:val="00C02E97"/>
    <w:rsid w:val="00C14B50"/>
    <w:rsid w:val="00C1548D"/>
    <w:rsid w:val="00C17D44"/>
    <w:rsid w:val="00C25F05"/>
    <w:rsid w:val="00C270BB"/>
    <w:rsid w:val="00C30021"/>
    <w:rsid w:val="00C30AB5"/>
    <w:rsid w:val="00C31818"/>
    <w:rsid w:val="00C31F7A"/>
    <w:rsid w:val="00C3764C"/>
    <w:rsid w:val="00C46214"/>
    <w:rsid w:val="00C47987"/>
    <w:rsid w:val="00C50848"/>
    <w:rsid w:val="00C519A5"/>
    <w:rsid w:val="00C52FDB"/>
    <w:rsid w:val="00C5604E"/>
    <w:rsid w:val="00C63037"/>
    <w:rsid w:val="00C70228"/>
    <w:rsid w:val="00C70E78"/>
    <w:rsid w:val="00C71DDC"/>
    <w:rsid w:val="00C81A5A"/>
    <w:rsid w:val="00C829CB"/>
    <w:rsid w:val="00C831AF"/>
    <w:rsid w:val="00C8321E"/>
    <w:rsid w:val="00C834C4"/>
    <w:rsid w:val="00C83E06"/>
    <w:rsid w:val="00C84364"/>
    <w:rsid w:val="00C84D2C"/>
    <w:rsid w:val="00C84F80"/>
    <w:rsid w:val="00C8511B"/>
    <w:rsid w:val="00C8606A"/>
    <w:rsid w:val="00C875E5"/>
    <w:rsid w:val="00C87745"/>
    <w:rsid w:val="00C90369"/>
    <w:rsid w:val="00C911BA"/>
    <w:rsid w:val="00C9191C"/>
    <w:rsid w:val="00C92B52"/>
    <w:rsid w:val="00CA2605"/>
    <w:rsid w:val="00CA325D"/>
    <w:rsid w:val="00CA32E2"/>
    <w:rsid w:val="00CA4035"/>
    <w:rsid w:val="00CA5586"/>
    <w:rsid w:val="00CA5A9B"/>
    <w:rsid w:val="00CA5F71"/>
    <w:rsid w:val="00CB04A0"/>
    <w:rsid w:val="00CB4341"/>
    <w:rsid w:val="00CB6791"/>
    <w:rsid w:val="00CC10DC"/>
    <w:rsid w:val="00CC1A8B"/>
    <w:rsid w:val="00CC42DB"/>
    <w:rsid w:val="00CC69A0"/>
    <w:rsid w:val="00CD2266"/>
    <w:rsid w:val="00CD3A33"/>
    <w:rsid w:val="00CD4B51"/>
    <w:rsid w:val="00CD51D9"/>
    <w:rsid w:val="00CE00D2"/>
    <w:rsid w:val="00CE0CA3"/>
    <w:rsid w:val="00CE10BA"/>
    <w:rsid w:val="00CE313B"/>
    <w:rsid w:val="00CE5EAD"/>
    <w:rsid w:val="00CE646C"/>
    <w:rsid w:val="00CF06F1"/>
    <w:rsid w:val="00CF381D"/>
    <w:rsid w:val="00CF3C31"/>
    <w:rsid w:val="00CF541D"/>
    <w:rsid w:val="00CF61CA"/>
    <w:rsid w:val="00D020BA"/>
    <w:rsid w:val="00D02AE8"/>
    <w:rsid w:val="00D051B1"/>
    <w:rsid w:val="00D05F2F"/>
    <w:rsid w:val="00D10809"/>
    <w:rsid w:val="00D16158"/>
    <w:rsid w:val="00D2452C"/>
    <w:rsid w:val="00D24997"/>
    <w:rsid w:val="00D30058"/>
    <w:rsid w:val="00D3089D"/>
    <w:rsid w:val="00D32FAE"/>
    <w:rsid w:val="00D34664"/>
    <w:rsid w:val="00D35688"/>
    <w:rsid w:val="00D40999"/>
    <w:rsid w:val="00D41A57"/>
    <w:rsid w:val="00D423F6"/>
    <w:rsid w:val="00D4414B"/>
    <w:rsid w:val="00D46130"/>
    <w:rsid w:val="00D52AD5"/>
    <w:rsid w:val="00D54B04"/>
    <w:rsid w:val="00D5661C"/>
    <w:rsid w:val="00D61230"/>
    <w:rsid w:val="00D624F3"/>
    <w:rsid w:val="00D63D52"/>
    <w:rsid w:val="00D642A5"/>
    <w:rsid w:val="00D66AE6"/>
    <w:rsid w:val="00D720C3"/>
    <w:rsid w:val="00D72A8B"/>
    <w:rsid w:val="00D733AA"/>
    <w:rsid w:val="00D75E7B"/>
    <w:rsid w:val="00D8044E"/>
    <w:rsid w:val="00D810D6"/>
    <w:rsid w:val="00D81C60"/>
    <w:rsid w:val="00D8216E"/>
    <w:rsid w:val="00D83621"/>
    <w:rsid w:val="00D8665B"/>
    <w:rsid w:val="00D90BA4"/>
    <w:rsid w:val="00D917DC"/>
    <w:rsid w:val="00D93B91"/>
    <w:rsid w:val="00D94284"/>
    <w:rsid w:val="00DA04A5"/>
    <w:rsid w:val="00DA1C64"/>
    <w:rsid w:val="00DA3240"/>
    <w:rsid w:val="00DB032C"/>
    <w:rsid w:val="00DB294C"/>
    <w:rsid w:val="00DB4A1D"/>
    <w:rsid w:val="00DB4EF3"/>
    <w:rsid w:val="00DB5C8C"/>
    <w:rsid w:val="00DC14D0"/>
    <w:rsid w:val="00DC3750"/>
    <w:rsid w:val="00DC3E66"/>
    <w:rsid w:val="00DC5377"/>
    <w:rsid w:val="00DC5779"/>
    <w:rsid w:val="00DC6811"/>
    <w:rsid w:val="00DC6CEC"/>
    <w:rsid w:val="00DC779F"/>
    <w:rsid w:val="00DC784F"/>
    <w:rsid w:val="00DC7C72"/>
    <w:rsid w:val="00DD1E1C"/>
    <w:rsid w:val="00DD4317"/>
    <w:rsid w:val="00DD557A"/>
    <w:rsid w:val="00DD5862"/>
    <w:rsid w:val="00DD606A"/>
    <w:rsid w:val="00DD6298"/>
    <w:rsid w:val="00DE1E96"/>
    <w:rsid w:val="00DE4157"/>
    <w:rsid w:val="00DE5064"/>
    <w:rsid w:val="00DE7002"/>
    <w:rsid w:val="00DE7238"/>
    <w:rsid w:val="00DF0B57"/>
    <w:rsid w:val="00DF5693"/>
    <w:rsid w:val="00DF5D2F"/>
    <w:rsid w:val="00DF6498"/>
    <w:rsid w:val="00DF6F2B"/>
    <w:rsid w:val="00DF6F44"/>
    <w:rsid w:val="00E016E9"/>
    <w:rsid w:val="00E01EEC"/>
    <w:rsid w:val="00E03DFF"/>
    <w:rsid w:val="00E04644"/>
    <w:rsid w:val="00E053EC"/>
    <w:rsid w:val="00E06889"/>
    <w:rsid w:val="00E07D1D"/>
    <w:rsid w:val="00E10835"/>
    <w:rsid w:val="00E11BA9"/>
    <w:rsid w:val="00E16B5C"/>
    <w:rsid w:val="00E23E87"/>
    <w:rsid w:val="00E24E4B"/>
    <w:rsid w:val="00E25AD2"/>
    <w:rsid w:val="00E2723E"/>
    <w:rsid w:val="00E3068D"/>
    <w:rsid w:val="00E31749"/>
    <w:rsid w:val="00E33870"/>
    <w:rsid w:val="00E342D6"/>
    <w:rsid w:val="00E34ECD"/>
    <w:rsid w:val="00E407A4"/>
    <w:rsid w:val="00E428BD"/>
    <w:rsid w:val="00E44639"/>
    <w:rsid w:val="00E47602"/>
    <w:rsid w:val="00E55458"/>
    <w:rsid w:val="00E6007F"/>
    <w:rsid w:val="00E605C0"/>
    <w:rsid w:val="00E610B0"/>
    <w:rsid w:val="00E65D94"/>
    <w:rsid w:val="00E70BA2"/>
    <w:rsid w:val="00E71073"/>
    <w:rsid w:val="00E8148B"/>
    <w:rsid w:val="00E908D7"/>
    <w:rsid w:val="00E909B9"/>
    <w:rsid w:val="00E9517B"/>
    <w:rsid w:val="00E96303"/>
    <w:rsid w:val="00E968E0"/>
    <w:rsid w:val="00E97502"/>
    <w:rsid w:val="00EA226E"/>
    <w:rsid w:val="00EA22D0"/>
    <w:rsid w:val="00EA402E"/>
    <w:rsid w:val="00EB09A8"/>
    <w:rsid w:val="00EB1485"/>
    <w:rsid w:val="00EC0DA1"/>
    <w:rsid w:val="00EC6C73"/>
    <w:rsid w:val="00ED05D0"/>
    <w:rsid w:val="00ED081C"/>
    <w:rsid w:val="00ED3595"/>
    <w:rsid w:val="00ED5484"/>
    <w:rsid w:val="00ED58CB"/>
    <w:rsid w:val="00ED66EE"/>
    <w:rsid w:val="00EE0368"/>
    <w:rsid w:val="00EE0749"/>
    <w:rsid w:val="00EE68AA"/>
    <w:rsid w:val="00EE7BF3"/>
    <w:rsid w:val="00EF089C"/>
    <w:rsid w:val="00EF2053"/>
    <w:rsid w:val="00EF3215"/>
    <w:rsid w:val="00EF3261"/>
    <w:rsid w:val="00EF3BEF"/>
    <w:rsid w:val="00EF3CA2"/>
    <w:rsid w:val="00EF65B1"/>
    <w:rsid w:val="00F0048D"/>
    <w:rsid w:val="00F013DB"/>
    <w:rsid w:val="00F102DA"/>
    <w:rsid w:val="00F13AAB"/>
    <w:rsid w:val="00F13F03"/>
    <w:rsid w:val="00F2019E"/>
    <w:rsid w:val="00F2134A"/>
    <w:rsid w:val="00F23522"/>
    <w:rsid w:val="00F27CC3"/>
    <w:rsid w:val="00F27F83"/>
    <w:rsid w:val="00F3252D"/>
    <w:rsid w:val="00F33DBA"/>
    <w:rsid w:val="00F341A6"/>
    <w:rsid w:val="00F40FD3"/>
    <w:rsid w:val="00F46322"/>
    <w:rsid w:val="00F46A3E"/>
    <w:rsid w:val="00F5358D"/>
    <w:rsid w:val="00F53981"/>
    <w:rsid w:val="00F55593"/>
    <w:rsid w:val="00F55B0D"/>
    <w:rsid w:val="00F57333"/>
    <w:rsid w:val="00F57861"/>
    <w:rsid w:val="00F60B9D"/>
    <w:rsid w:val="00F64048"/>
    <w:rsid w:val="00F64576"/>
    <w:rsid w:val="00F7311B"/>
    <w:rsid w:val="00F73617"/>
    <w:rsid w:val="00F74363"/>
    <w:rsid w:val="00F75193"/>
    <w:rsid w:val="00F769CD"/>
    <w:rsid w:val="00F77D06"/>
    <w:rsid w:val="00F8172B"/>
    <w:rsid w:val="00F8448A"/>
    <w:rsid w:val="00F84647"/>
    <w:rsid w:val="00F85890"/>
    <w:rsid w:val="00F85FBC"/>
    <w:rsid w:val="00F913D4"/>
    <w:rsid w:val="00F95267"/>
    <w:rsid w:val="00F958CD"/>
    <w:rsid w:val="00FA32E4"/>
    <w:rsid w:val="00FA3FC2"/>
    <w:rsid w:val="00FA7E5A"/>
    <w:rsid w:val="00FB0F74"/>
    <w:rsid w:val="00FB2FDE"/>
    <w:rsid w:val="00FB3642"/>
    <w:rsid w:val="00FB39AE"/>
    <w:rsid w:val="00FB4E2F"/>
    <w:rsid w:val="00FB5D4B"/>
    <w:rsid w:val="00FB75C5"/>
    <w:rsid w:val="00FC0664"/>
    <w:rsid w:val="00FC0F2C"/>
    <w:rsid w:val="00FC2AF3"/>
    <w:rsid w:val="00FC4443"/>
    <w:rsid w:val="00FC5F15"/>
    <w:rsid w:val="00FC718E"/>
    <w:rsid w:val="00FD3084"/>
    <w:rsid w:val="00FD4C25"/>
    <w:rsid w:val="00FE0B47"/>
    <w:rsid w:val="00FE0DD4"/>
    <w:rsid w:val="00FE0F90"/>
    <w:rsid w:val="00FE1A4A"/>
    <w:rsid w:val="00FE2319"/>
    <w:rsid w:val="00FE2D65"/>
    <w:rsid w:val="00FE4661"/>
    <w:rsid w:val="00FE4DDD"/>
    <w:rsid w:val="00FE5140"/>
    <w:rsid w:val="00FE6279"/>
    <w:rsid w:val="00FF01A4"/>
    <w:rsid w:val="00FF2878"/>
    <w:rsid w:val="00FF40C5"/>
    <w:rsid w:val="00FF4FE8"/>
    <w:rsid w:val="00FF6D4F"/>
    <w:rsid w:val="00FF71AF"/>
    <w:rsid w:val="00FF74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5C80C"/>
  <w15:docId w15:val="{19F8AD49-16B2-4AB2-A04F-693E4066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1F"/>
    <w:pPr>
      <w:tabs>
        <w:tab w:val="left" w:pos="425"/>
        <w:tab w:val="left" w:pos="851"/>
        <w:tab w:val="left" w:pos="1276"/>
        <w:tab w:val="left" w:pos="1701"/>
      </w:tabs>
    </w:pPr>
    <w:rPr>
      <w:sz w:val="24"/>
      <w:szCs w:val="24"/>
    </w:rPr>
  </w:style>
  <w:style w:type="paragraph" w:styleId="Overskrift1">
    <w:name w:val="heading 1"/>
    <w:basedOn w:val="Normal"/>
    <w:next w:val="Normal"/>
    <w:link w:val="Overskrift1Tegn"/>
    <w:uiPriority w:val="9"/>
    <w:qFormat/>
    <w:rsid w:val="00895AB7"/>
    <w:pPr>
      <w:keepNext/>
      <w:keepLines/>
      <w:tabs>
        <w:tab w:val="clear" w:pos="425"/>
        <w:tab w:val="clear" w:pos="851"/>
        <w:tab w:val="clear" w:pos="1276"/>
        <w:tab w:val="clear" w:pos="1701"/>
      </w:tabs>
      <w:spacing w:before="480" w:line="270" w:lineRule="atLeast"/>
      <w:outlineLvl w:val="0"/>
    </w:pPr>
    <w:rPr>
      <w:b/>
      <w:bCs/>
      <w:sz w:val="28"/>
      <w:szCs w:val="28"/>
      <w:lang w:eastAsia="en-US"/>
    </w:rPr>
  </w:style>
  <w:style w:type="paragraph" w:styleId="Overskrift2">
    <w:name w:val="heading 2"/>
    <w:basedOn w:val="Normal"/>
    <w:next w:val="Normal"/>
    <w:link w:val="Overskrift2Tegn"/>
    <w:qFormat/>
    <w:rsid w:val="00C25F05"/>
    <w:pPr>
      <w:keepNext/>
      <w:keepLines/>
      <w:tabs>
        <w:tab w:val="clear" w:pos="425"/>
        <w:tab w:val="clear" w:pos="851"/>
        <w:tab w:val="clear" w:pos="1276"/>
        <w:tab w:val="clear" w:pos="1701"/>
      </w:tabs>
      <w:spacing w:before="200" w:after="60" w:line="276" w:lineRule="auto"/>
      <w:outlineLvl w:val="1"/>
    </w:pPr>
    <w:rPr>
      <w:b/>
      <w:bCs/>
      <w:sz w:val="26"/>
      <w:szCs w:val="26"/>
      <w:lang w:eastAsia="en-US"/>
    </w:rPr>
  </w:style>
  <w:style w:type="paragraph" w:styleId="Overskrift3">
    <w:name w:val="heading 3"/>
    <w:basedOn w:val="Normal"/>
    <w:next w:val="Normal"/>
    <w:link w:val="Overskrift3Tegn"/>
    <w:uiPriority w:val="9"/>
    <w:qFormat/>
    <w:rsid w:val="00895AB7"/>
    <w:pPr>
      <w:keepNext/>
      <w:keepLines/>
      <w:tabs>
        <w:tab w:val="clear" w:pos="425"/>
        <w:tab w:val="clear" w:pos="851"/>
        <w:tab w:val="clear" w:pos="1276"/>
        <w:tab w:val="clear" w:pos="1701"/>
      </w:tabs>
      <w:spacing w:before="200" w:line="270" w:lineRule="atLeast"/>
      <w:outlineLvl w:val="2"/>
    </w:pPr>
    <w:rPr>
      <w:b/>
      <w:bCs/>
      <w:sz w:val="23"/>
      <w:szCs w:val="22"/>
      <w:lang w:eastAsia="en-US"/>
    </w:rPr>
  </w:style>
  <w:style w:type="paragraph" w:styleId="Overskrift4">
    <w:name w:val="heading 4"/>
    <w:basedOn w:val="Normal"/>
    <w:next w:val="Normal"/>
    <w:link w:val="Overskrift4Tegn"/>
    <w:uiPriority w:val="9"/>
    <w:qFormat/>
    <w:rsid w:val="00895AB7"/>
    <w:pPr>
      <w:keepNext/>
      <w:keepLines/>
      <w:tabs>
        <w:tab w:val="clear" w:pos="425"/>
        <w:tab w:val="clear" w:pos="851"/>
        <w:tab w:val="clear" w:pos="1276"/>
        <w:tab w:val="clear" w:pos="1701"/>
      </w:tabs>
      <w:spacing w:before="200" w:line="270" w:lineRule="atLeast"/>
      <w:outlineLvl w:val="3"/>
    </w:pPr>
    <w:rPr>
      <w:b/>
      <w:bCs/>
      <w:i/>
      <w:iCs/>
      <w:sz w:val="23"/>
      <w:szCs w:val="22"/>
      <w:lang w:eastAsia="en-US"/>
    </w:rPr>
  </w:style>
  <w:style w:type="paragraph" w:styleId="Overskrift5">
    <w:name w:val="heading 5"/>
    <w:basedOn w:val="Normal"/>
    <w:next w:val="Normal"/>
    <w:link w:val="Overskrift5Tegn"/>
    <w:uiPriority w:val="9"/>
    <w:qFormat/>
    <w:rsid w:val="00895AB7"/>
    <w:pPr>
      <w:keepNext/>
      <w:keepLines/>
      <w:tabs>
        <w:tab w:val="clear" w:pos="425"/>
        <w:tab w:val="clear" w:pos="851"/>
        <w:tab w:val="clear" w:pos="1276"/>
        <w:tab w:val="clear" w:pos="1701"/>
      </w:tabs>
      <w:spacing w:before="200" w:line="270" w:lineRule="atLeast"/>
      <w:outlineLvl w:val="4"/>
    </w:pPr>
    <w:rPr>
      <w:sz w:val="23"/>
      <w:szCs w:val="22"/>
      <w:lang w:eastAsia="en-US"/>
    </w:rPr>
  </w:style>
  <w:style w:type="paragraph" w:styleId="Overskrift6">
    <w:name w:val="heading 6"/>
    <w:basedOn w:val="Normal"/>
    <w:next w:val="Normal"/>
    <w:link w:val="Overskrift6Tegn"/>
    <w:uiPriority w:val="9"/>
    <w:qFormat/>
    <w:rsid w:val="00895AB7"/>
    <w:pPr>
      <w:keepNext/>
      <w:keepLines/>
      <w:tabs>
        <w:tab w:val="clear" w:pos="425"/>
        <w:tab w:val="clear" w:pos="851"/>
        <w:tab w:val="clear" w:pos="1276"/>
        <w:tab w:val="clear" w:pos="1701"/>
      </w:tabs>
      <w:spacing w:before="200" w:line="270" w:lineRule="atLeast"/>
      <w:outlineLvl w:val="5"/>
    </w:pPr>
    <w:rPr>
      <w:i/>
      <w:iCs/>
      <w:sz w:val="23"/>
      <w:szCs w:val="22"/>
      <w:lang w:eastAsia="en-US"/>
    </w:rPr>
  </w:style>
  <w:style w:type="paragraph" w:styleId="Overskrift7">
    <w:name w:val="heading 7"/>
    <w:basedOn w:val="Normal"/>
    <w:next w:val="Normal"/>
    <w:link w:val="Overskrift7Tegn"/>
    <w:uiPriority w:val="9"/>
    <w:qFormat/>
    <w:rsid w:val="00895AB7"/>
    <w:pPr>
      <w:keepNext/>
      <w:keepLines/>
      <w:tabs>
        <w:tab w:val="clear" w:pos="425"/>
        <w:tab w:val="clear" w:pos="851"/>
        <w:tab w:val="clear" w:pos="1276"/>
        <w:tab w:val="clear" w:pos="1701"/>
      </w:tabs>
      <w:spacing w:before="200" w:line="270" w:lineRule="atLeast"/>
      <w:outlineLvl w:val="6"/>
    </w:pPr>
    <w:rPr>
      <w:i/>
      <w:iCs/>
      <w:sz w:val="23"/>
      <w:szCs w:val="22"/>
      <w:lang w:eastAsia="en-US"/>
    </w:rPr>
  </w:style>
  <w:style w:type="paragraph" w:styleId="Overskrift8">
    <w:name w:val="heading 8"/>
    <w:basedOn w:val="Normal"/>
    <w:next w:val="Normal"/>
    <w:link w:val="Overskrift8Tegn"/>
    <w:uiPriority w:val="9"/>
    <w:qFormat/>
    <w:rsid w:val="00895AB7"/>
    <w:pPr>
      <w:keepNext/>
      <w:keepLines/>
      <w:tabs>
        <w:tab w:val="clear" w:pos="425"/>
        <w:tab w:val="clear" w:pos="851"/>
        <w:tab w:val="clear" w:pos="1276"/>
        <w:tab w:val="clear" w:pos="1701"/>
      </w:tabs>
      <w:spacing w:before="200" w:line="270" w:lineRule="atLeast"/>
      <w:outlineLvl w:val="7"/>
    </w:pPr>
    <w:rPr>
      <w:sz w:val="20"/>
      <w:szCs w:val="20"/>
      <w:lang w:eastAsia="en-US"/>
    </w:rPr>
  </w:style>
  <w:style w:type="paragraph" w:styleId="Overskrift9">
    <w:name w:val="heading 9"/>
    <w:basedOn w:val="Normal"/>
    <w:next w:val="Normal"/>
    <w:link w:val="Overskrift9Tegn"/>
    <w:uiPriority w:val="9"/>
    <w:qFormat/>
    <w:rsid w:val="00895AB7"/>
    <w:pPr>
      <w:keepNext/>
      <w:keepLines/>
      <w:tabs>
        <w:tab w:val="clear" w:pos="425"/>
        <w:tab w:val="clear" w:pos="851"/>
        <w:tab w:val="clear" w:pos="1276"/>
        <w:tab w:val="clear" w:pos="1701"/>
      </w:tabs>
      <w:spacing w:before="200" w:line="270" w:lineRule="atLeast"/>
      <w:outlineLvl w:val="8"/>
    </w:pPr>
    <w:rPr>
      <w:i/>
      <w:iCs/>
      <w:sz w:val="20"/>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semiHidden/>
    <w:unhideWhenUsed/>
    <w:rsid w:val="00CC10DC"/>
    <w:pPr>
      <w:spacing w:after="60"/>
    </w:pPr>
    <w:rPr>
      <w:sz w:val="20"/>
      <w:szCs w:val="20"/>
    </w:rPr>
  </w:style>
  <w:style w:type="character" w:customStyle="1" w:styleId="FodnotetekstTegn">
    <w:name w:val="Fodnotetekst Tegn"/>
    <w:basedOn w:val="Standardskrifttypeiafsnit"/>
    <w:link w:val="Fodnotetekst"/>
    <w:semiHidden/>
    <w:rsid w:val="00CC10DC"/>
  </w:style>
  <w:style w:type="character" w:styleId="Fodnotehenvisning">
    <w:name w:val="footnote reference"/>
    <w:basedOn w:val="Standardskrifttypeiafsnit"/>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uiPriority w:val="9"/>
    <w:rsid w:val="00895AB7"/>
    <w:rPr>
      <w:b/>
      <w:bCs/>
      <w:sz w:val="28"/>
      <w:szCs w:val="28"/>
      <w:lang w:eastAsia="en-US"/>
    </w:rPr>
  </w:style>
  <w:style w:type="character" w:customStyle="1" w:styleId="Overskrift2Tegn">
    <w:name w:val="Overskrift 2 Tegn"/>
    <w:basedOn w:val="Standardskrifttypeiafsnit"/>
    <w:link w:val="Overskrift2"/>
    <w:rsid w:val="00C25F05"/>
    <w:rPr>
      <w:b/>
      <w:bCs/>
      <w:sz w:val="26"/>
      <w:szCs w:val="26"/>
      <w:lang w:eastAsia="en-US"/>
    </w:rPr>
  </w:style>
  <w:style w:type="character" w:customStyle="1" w:styleId="Overskrift3Tegn">
    <w:name w:val="Overskrift 3 Tegn"/>
    <w:basedOn w:val="Standardskrifttypeiafsnit"/>
    <w:link w:val="Overskrift3"/>
    <w:uiPriority w:val="9"/>
    <w:rsid w:val="00895AB7"/>
    <w:rPr>
      <w:b/>
      <w:bCs/>
      <w:sz w:val="23"/>
      <w:szCs w:val="22"/>
      <w:lang w:eastAsia="en-US"/>
    </w:rPr>
  </w:style>
  <w:style w:type="character" w:customStyle="1" w:styleId="Overskrift4Tegn">
    <w:name w:val="Overskrift 4 Tegn"/>
    <w:basedOn w:val="Standardskrifttypeiafsnit"/>
    <w:link w:val="Overskrift4"/>
    <w:uiPriority w:val="9"/>
    <w:rsid w:val="00895AB7"/>
    <w:rPr>
      <w:b/>
      <w:bCs/>
      <w:i/>
      <w:iCs/>
      <w:sz w:val="23"/>
      <w:szCs w:val="22"/>
      <w:lang w:eastAsia="en-US"/>
    </w:rPr>
  </w:style>
  <w:style w:type="character" w:customStyle="1" w:styleId="Overskrift5Tegn">
    <w:name w:val="Overskrift 5 Tegn"/>
    <w:basedOn w:val="Standardskrifttypeiafsnit"/>
    <w:link w:val="Overskrift5"/>
    <w:uiPriority w:val="9"/>
    <w:rsid w:val="00895AB7"/>
    <w:rPr>
      <w:sz w:val="23"/>
      <w:szCs w:val="22"/>
      <w:lang w:eastAsia="en-US"/>
    </w:rPr>
  </w:style>
  <w:style w:type="character" w:customStyle="1" w:styleId="Overskrift6Tegn">
    <w:name w:val="Overskrift 6 Tegn"/>
    <w:basedOn w:val="Standardskrifttypeiafsnit"/>
    <w:link w:val="Overskrift6"/>
    <w:uiPriority w:val="9"/>
    <w:rsid w:val="00895AB7"/>
    <w:rPr>
      <w:i/>
      <w:iCs/>
      <w:sz w:val="23"/>
      <w:szCs w:val="22"/>
      <w:lang w:eastAsia="en-US"/>
    </w:rPr>
  </w:style>
  <w:style w:type="character" w:customStyle="1" w:styleId="Overskrift7Tegn">
    <w:name w:val="Overskrift 7 Tegn"/>
    <w:basedOn w:val="Standardskrifttypeiafsnit"/>
    <w:link w:val="Overskrift7"/>
    <w:uiPriority w:val="9"/>
    <w:rsid w:val="00895AB7"/>
    <w:rPr>
      <w:i/>
      <w:iCs/>
      <w:sz w:val="23"/>
      <w:szCs w:val="22"/>
      <w:lang w:eastAsia="en-US"/>
    </w:rPr>
  </w:style>
  <w:style w:type="character" w:customStyle="1" w:styleId="Overskrift8Tegn">
    <w:name w:val="Overskrift 8 Tegn"/>
    <w:basedOn w:val="Standardskrifttypeiafsnit"/>
    <w:link w:val="Overskrift8"/>
    <w:uiPriority w:val="9"/>
    <w:rsid w:val="00895AB7"/>
    <w:rPr>
      <w:lang w:eastAsia="en-US"/>
    </w:rPr>
  </w:style>
  <w:style w:type="character" w:customStyle="1" w:styleId="Overskrift9Tegn">
    <w:name w:val="Overskrift 9 Tegn"/>
    <w:basedOn w:val="Standardskrifttypeiafsnit"/>
    <w:link w:val="Overskrift9"/>
    <w:uiPriority w:val="9"/>
    <w:rsid w:val="00895AB7"/>
    <w:rPr>
      <w:i/>
      <w:iCs/>
      <w:lang w:eastAsia="en-US"/>
    </w:rPr>
  </w:style>
  <w:style w:type="paragraph" w:styleId="Titel">
    <w:name w:val="Title"/>
    <w:basedOn w:val="Normal"/>
    <w:next w:val="Normal"/>
    <w:link w:val="TitelTegn"/>
    <w:uiPriority w:val="10"/>
    <w:qFormat/>
    <w:rsid w:val="00895AB7"/>
    <w:pPr>
      <w:tabs>
        <w:tab w:val="clear" w:pos="425"/>
        <w:tab w:val="clear" w:pos="851"/>
        <w:tab w:val="clear" w:pos="1276"/>
        <w:tab w:val="clear" w:pos="1701"/>
      </w:tabs>
      <w:spacing w:after="240" w:line="270" w:lineRule="atLeast"/>
      <w:contextualSpacing/>
    </w:pPr>
    <w:rPr>
      <w:b/>
      <w:spacing w:val="5"/>
      <w:kern w:val="28"/>
      <w:sz w:val="23"/>
      <w:szCs w:val="52"/>
      <w:lang w:eastAsia="en-US"/>
    </w:rPr>
  </w:style>
  <w:style w:type="character" w:customStyle="1" w:styleId="TitelTegn">
    <w:name w:val="Titel Tegn"/>
    <w:basedOn w:val="Standardskrifttypeiafsnit"/>
    <w:link w:val="Titel"/>
    <w:uiPriority w:val="10"/>
    <w:rsid w:val="00895AB7"/>
    <w:rPr>
      <w:b/>
      <w:spacing w:val="5"/>
      <w:kern w:val="28"/>
      <w:sz w:val="23"/>
      <w:szCs w:val="52"/>
      <w:lang w:eastAsia="en-US"/>
    </w:rPr>
  </w:style>
  <w:style w:type="paragraph" w:customStyle="1" w:styleId="Ledetekst">
    <w:name w:val="Ledetekst"/>
    <w:basedOn w:val="Normal"/>
    <w:next w:val="Normal"/>
    <w:qFormat/>
    <w:rsid w:val="00895AB7"/>
    <w:pPr>
      <w:tabs>
        <w:tab w:val="clear" w:pos="425"/>
        <w:tab w:val="clear" w:pos="851"/>
        <w:tab w:val="clear" w:pos="1276"/>
        <w:tab w:val="clear" w:pos="1701"/>
      </w:tabs>
      <w:spacing w:line="270" w:lineRule="atLeast"/>
    </w:pPr>
    <w:rPr>
      <w:b/>
      <w:sz w:val="23"/>
      <w:szCs w:val="22"/>
      <w:lang w:eastAsia="en-US"/>
    </w:rPr>
  </w:style>
  <w:style w:type="paragraph" w:customStyle="1" w:styleId="Dokumenttitel">
    <w:name w:val="Dokumenttitel"/>
    <w:basedOn w:val="Normal"/>
    <w:next w:val="Normal"/>
    <w:qFormat/>
    <w:rsid w:val="00895AB7"/>
    <w:pPr>
      <w:tabs>
        <w:tab w:val="clear" w:pos="425"/>
        <w:tab w:val="clear" w:pos="851"/>
        <w:tab w:val="clear" w:pos="1276"/>
        <w:tab w:val="clear" w:pos="1701"/>
      </w:tabs>
      <w:spacing w:line="270" w:lineRule="atLeast"/>
    </w:pPr>
    <w:rPr>
      <w:b/>
      <w:spacing w:val="60"/>
      <w:sz w:val="23"/>
      <w:szCs w:val="22"/>
      <w:lang w:eastAsia="en-US"/>
    </w:rPr>
  </w:style>
  <w:style w:type="paragraph" w:customStyle="1" w:styleId="Kolofon">
    <w:name w:val="Kolofon"/>
    <w:basedOn w:val="Normal"/>
    <w:qFormat/>
    <w:rsid w:val="00895AB7"/>
    <w:pPr>
      <w:tabs>
        <w:tab w:val="clear" w:pos="425"/>
        <w:tab w:val="clear" w:pos="851"/>
        <w:tab w:val="clear" w:pos="1276"/>
        <w:tab w:val="clear" w:pos="1701"/>
        <w:tab w:val="left" w:pos="284"/>
      </w:tabs>
      <w:spacing w:line="270" w:lineRule="atLeast"/>
    </w:pPr>
    <w:rPr>
      <w:sz w:val="18"/>
      <w:szCs w:val="22"/>
      <w:lang w:eastAsia="en-US"/>
    </w:rPr>
  </w:style>
  <w:style w:type="character" w:customStyle="1" w:styleId="Mediumgitter11">
    <w:name w:val="Medium gitter 11"/>
    <w:uiPriority w:val="99"/>
    <w:semiHidden/>
    <w:rsid w:val="00895AB7"/>
    <w:rPr>
      <w:color w:val="808080"/>
    </w:rPr>
  </w:style>
  <w:style w:type="character" w:styleId="Hyperlink">
    <w:name w:val="Hyperlink"/>
    <w:rsid w:val="00895AB7"/>
    <w:rPr>
      <w:color w:val="auto"/>
      <w:u w:val="none"/>
    </w:rPr>
  </w:style>
  <w:style w:type="paragraph" w:customStyle="1" w:styleId="Farvetliste-fremhvningsfarve11">
    <w:name w:val="Farvet liste - fremhævningsfarve 11"/>
    <w:basedOn w:val="Normal"/>
    <w:uiPriority w:val="34"/>
    <w:qFormat/>
    <w:rsid w:val="00895AB7"/>
    <w:pPr>
      <w:tabs>
        <w:tab w:val="clear" w:pos="425"/>
        <w:tab w:val="clear" w:pos="851"/>
        <w:tab w:val="clear" w:pos="1276"/>
        <w:tab w:val="clear" w:pos="1701"/>
      </w:tabs>
      <w:ind w:left="720"/>
      <w:contextualSpacing/>
    </w:pPr>
    <w:rPr>
      <w:sz w:val="22"/>
      <w:szCs w:val="22"/>
      <w:lang w:eastAsia="en-US"/>
    </w:rPr>
  </w:style>
  <w:style w:type="paragraph" w:styleId="Slutnotetekst">
    <w:name w:val="endnote text"/>
    <w:basedOn w:val="Normal"/>
    <w:link w:val="SlutnotetekstTegn"/>
    <w:uiPriority w:val="99"/>
    <w:unhideWhenUsed/>
    <w:rsid w:val="00895AB7"/>
    <w:pPr>
      <w:tabs>
        <w:tab w:val="clear" w:pos="425"/>
        <w:tab w:val="clear" w:pos="851"/>
        <w:tab w:val="clear" w:pos="1276"/>
        <w:tab w:val="clear" w:pos="1701"/>
      </w:tabs>
      <w:spacing w:line="270" w:lineRule="atLeast"/>
    </w:pPr>
    <w:rPr>
      <w:lang w:eastAsia="en-US"/>
    </w:rPr>
  </w:style>
  <w:style w:type="character" w:customStyle="1" w:styleId="SlutnotetekstTegn">
    <w:name w:val="Slutnotetekst Tegn"/>
    <w:basedOn w:val="Standardskrifttypeiafsnit"/>
    <w:link w:val="Slutnotetekst"/>
    <w:uiPriority w:val="99"/>
    <w:rsid w:val="00895AB7"/>
    <w:rPr>
      <w:sz w:val="24"/>
      <w:szCs w:val="24"/>
      <w:lang w:eastAsia="en-US"/>
    </w:rPr>
  </w:style>
  <w:style w:type="character" w:styleId="Slutnotehenvisning">
    <w:name w:val="endnote reference"/>
    <w:uiPriority w:val="99"/>
    <w:unhideWhenUsed/>
    <w:rsid w:val="00895AB7"/>
    <w:rPr>
      <w:vertAlign w:val="superscript"/>
    </w:rPr>
  </w:style>
  <w:style w:type="character" w:styleId="Kommentarhenvisning">
    <w:name w:val="annotation reference"/>
    <w:uiPriority w:val="99"/>
    <w:semiHidden/>
    <w:unhideWhenUsed/>
    <w:rsid w:val="00895AB7"/>
    <w:rPr>
      <w:sz w:val="16"/>
      <w:szCs w:val="16"/>
    </w:rPr>
  </w:style>
  <w:style w:type="paragraph" w:styleId="Kommentartekst">
    <w:name w:val="annotation text"/>
    <w:basedOn w:val="Normal"/>
    <w:link w:val="KommentartekstTegn"/>
    <w:uiPriority w:val="99"/>
    <w:unhideWhenUsed/>
    <w:rsid w:val="00895AB7"/>
    <w:pPr>
      <w:tabs>
        <w:tab w:val="clear" w:pos="425"/>
        <w:tab w:val="clear" w:pos="851"/>
        <w:tab w:val="clear" w:pos="1276"/>
        <w:tab w:val="clear" w:pos="1701"/>
      </w:tabs>
      <w:spacing w:line="270" w:lineRule="atLeast"/>
    </w:pPr>
    <w:rPr>
      <w:sz w:val="20"/>
      <w:szCs w:val="20"/>
      <w:lang w:eastAsia="en-US"/>
    </w:rPr>
  </w:style>
  <w:style w:type="character" w:customStyle="1" w:styleId="KommentartekstTegn">
    <w:name w:val="Kommentartekst Tegn"/>
    <w:basedOn w:val="Standardskrifttypeiafsnit"/>
    <w:link w:val="Kommentartekst"/>
    <w:uiPriority w:val="99"/>
    <w:rsid w:val="00895AB7"/>
    <w:rPr>
      <w:lang w:eastAsia="en-US"/>
    </w:rPr>
  </w:style>
  <w:style w:type="paragraph" w:styleId="Kommentaremne">
    <w:name w:val="annotation subject"/>
    <w:basedOn w:val="Kommentartekst"/>
    <w:next w:val="Kommentartekst"/>
    <w:link w:val="KommentaremneTegn"/>
    <w:uiPriority w:val="99"/>
    <w:semiHidden/>
    <w:unhideWhenUsed/>
    <w:rsid w:val="00895AB7"/>
    <w:rPr>
      <w:b/>
      <w:bCs/>
    </w:rPr>
  </w:style>
  <w:style w:type="character" w:customStyle="1" w:styleId="KommentaremneTegn">
    <w:name w:val="Kommentaremne Tegn"/>
    <w:basedOn w:val="KommentartekstTegn"/>
    <w:link w:val="Kommentaremne"/>
    <w:uiPriority w:val="99"/>
    <w:semiHidden/>
    <w:rsid w:val="00895AB7"/>
    <w:rPr>
      <w:b/>
      <w:bCs/>
      <w:lang w:eastAsia="en-US"/>
    </w:rPr>
  </w:style>
  <w:style w:type="paragraph" w:styleId="Listeafsnit">
    <w:name w:val="List Paragraph"/>
    <w:basedOn w:val="Normal"/>
    <w:link w:val="ListeafsnitTegn"/>
    <w:uiPriority w:val="34"/>
    <w:qFormat/>
    <w:rsid w:val="00895AB7"/>
    <w:pPr>
      <w:tabs>
        <w:tab w:val="clear" w:pos="425"/>
        <w:tab w:val="clear" w:pos="851"/>
        <w:tab w:val="clear" w:pos="1276"/>
        <w:tab w:val="clear" w:pos="1701"/>
      </w:tabs>
      <w:spacing w:line="270" w:lineRule="atLeast"/>
      <w:ind w:left="1304"/>
    </w:pPr>
    <w:rPr>
      <w:sz w:val="23"/>
      <w:szCs w:val="22"/>
      <w:lang w:eastAsia="en-US"/>
    </w:rPr>
  </w:style>
  <w:style w:type="paragraph" w:styleId="Korrektur">
    <w:name w:val="Revision"/>
    <w:hidden/>
    <w:uiPriority w:val="71"/>
    <w:rsid w:val="00895AB7"/>
    <w:rPr>
      <w:sz w:val="23"/>
      <w:szCs w:val="22"/>
      <w:lang w:eastAsia="en-US"/>
    </w:rPr>
  </w:style>
  <w:style w:type="paragraph" w:customStyle="1" w:styleId="Default">
    <w:name w:val="Default"/>
    <w:rsid w:val="00884E28"/>
    <w:pPr>
      <w:autoSpaceDE w:val="0"/>
      <w:autoSpaceDN w:val="0"/>
      <w:adjustRightInd w:val="0"/>
    </w:pPr>
    <w:rPr>
      <w:color w:val="000000"/>
      <w:sz w:val="24"/>
      <w:szCs w:val="24"/>
    </w:rPr>
  </w:style>
  <w:style w:type="paragraph" w:customStyle="1" w:styleId="Pa0">
    <w:name w:val="Pa0"/>
    <w:basedOn w:val="Default"/>
    <w:next w:val="Default"/>
    <w:uiPriority w:val="99"/>
    <w:rsid w:val="00884E28"/>
    <w:pPr>
      <w:spacing w:line="1201" w:lineRule="atLeast"/>
    </w:pPr>
    <w:rPr>
      <w:color w:val="auto"/>
    </w:rPr>
  </w:style>
  <w:style w:type="character" w:customStyle="1" w:styleId="A0">
    <w:name w:val="A0"/>
    <w:uiPriority w:val="99"/>
    <w:rsid w:val="00884E28"/>
    <w:rPr>
      <w:b/>
      <w:bCs/>
      <w:color w:val="000000"/>
      <w:sz w:val="72"/>
      <w:szCs w:val="72"/>
    </w:rPr>
  </w:style>
  <w:style w:type="paragraph" w:styleId="Opstilling-punkttegn">
    <w:name w:val="List Bullet"/>
    <w:basedOn w:val="Normal"/>
    <w:rsid w:val="003B6C7A"/>
    <w:pPr>
      <w:numPr>
        <w:numId w:val="5"/>
      </w:numPr>
      <w:tabs>
        <w:tab w:val="clear" w:pos="425"/>
        <w:tab w:val="clear" w:pos="851"/>
        <w:tab w:val="clear" w:pos="1276"/>
        <w:tab w:val="clear" w:pos="1701"/>
      </w:tabs>
      <w:spacing w:line="280" w:lineRule="atLeast"/>
    </w:pPr>
    <w:rPr>
      <w:rFonts w:ascii="Garamond" w:hAnsi="Garamond"/>
    </w:rPr>
  </w:style>
  <w:style w:type="character" w:styleId="BesgtLink">
    <w:name w:val="FollowedHyperlink"/>
    <w:basedOn w:val="Standardskrifttypeiafsnit"/>
    <w:uiPriority w:val="99"/>
    <w:semiHidden/>
    <w:unhideWhenUsed/>
    <w:rsid w:val="00DC5779"/>
    <w:rPr>
      <w:color w:val="800080" w:themeColor="followedHyperlink"/>
      <w:u w:val="single"/>
    </w:rPr>
  </w:style>
  <w:style w:type="character" w:customStyle="1" w:styleId="ListeafsnitTegn">
    <w:name w:val="Listeafsnit Tegn"/>
    <w:basedOn w:val="Standardskrifttypeiafsnit"/>
    <w:link w:val="Listeafsnit"/>
    <w:uiPriority w:val="34"/>
    <w:locked/>
    <w:rsid w:val="00D24997"/>
    <w:rPr>
      <w:sz w:val="23"/>
      <w:szCs w:val="22"/>
      <w:lang w:eastAsia="en-US"/>
    </w:rPr>
  </w:style>
  <w:style w:type="paragraph" w:customStyle="1" w:styleId="Opstilling-punktnr">
    <w:name w:val="Opstilling - punkt nr"/>
    <w:basedOn w:val="Opstilling-punkttegn"/>
    <w:rsid w:val="00EB09A8"/>
    <w:pPr>
      <w:numPr>
        <w:numId w:val="22"/>
      </w:numPr>
      <w:spacing w:after="120" w:line="270" w:lineRule="atLeast"/>
    </w:pPr>
    <w:rPr>
      <w:rFonts w:ascii="Times New Roman" w:hAnsi="Times New Roman"/>
      <w:b/>
      <w:sz w:val="23"/>
    </w:rPr>
  </w:style>
  <w:style w:type="paragraph" w:styleId="Ingenafstand">
    <w:name w:val="No Spacing"/>
    <w:uiPriority w:val="1"/>
    <w:qFormat/>
    <w:rsid w:val="003B4D91"/>
    <w:rPr>
      <w:rFonts w:eastAsiaTheme="minorHAnsi" w:cstheme="minorBidi"/>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219">
      <w:bodyDiv w:val="1"/>
      <w:marLeft w:val="0"/>
      <w:marRight w:val="0"/>
      <w:marTop w:val="0"/>
      <w:marBottom w:val="0"/>
      <w:divBdr>
        <w:top w:val="none" w:sz="0" w:space="0" w:color="auto"/>
        <w:left w:val="none" w:sz="0" w:space="0" w:color="auto"/>
        <w:bottom w:val="none" w:sz="0" w:space="0" w:color="auto"/>
        <w:right w:val="none" w:sz="0" w:space="0" w:color="auto"/>
      </w:divBdr>
    </w:div>
    <w:div w:id="283999126">
      <w:bodyDiv w:val="1"/>
      <w:marLeft w:val="0"/>
      <w:marRight w:val="0"/>
      <w:marTop w:val="0"/>
      <w:marBottom w:val="0"/>
      <w:divBdr>
        <w:top w:val="none" w:sz="0" w:space="0" w:color="auto"/>
        <w:left w:val="none" w:sz="0" w:space="0" w:color="auto"/>
        <w:bottom w:val="none" w:sz="0" w:space="0" w:color="auto"/>
        <w:right w:val="none" w:sz="0" w:space="0" w:color="auto"/>
      </w:divBdr>
    </w:div>
    <w:div w:id="400520670">
      <w:bodyDiv w:val="1"/>
      <w:marLeft w:val="0"/>
      <w:marRight w:val="0"/>
      <w:marTop w:val="0"/>
      <w:marBottom w:val="0"/>
      <w:divBdr>
        <w:top w:val="none" w:sz="0" w:space="0" w:color="auto"/>
        <w:left w:val="none" w:sz="0" w:space="0" w:color="auto"/>
        <w:bottom w:val="none" w:sz="0" w:space="0" w:color="auto"/>
        <w:right w:val="none" w:sz="0" w:space="0" w:color="auto"/>
      </w:divBdr>
    </w:div>
    <w:div w:id="468867282">
      <w:bodyDiv w:val="1"/>
      <w:marLeft w:val="0"/>
      <w:marRight w:val="0"/>
      <w:marTop w:val="0"/>
      <w:marBottom w:val="0"/>
      <w:divBdr>
        <w:top w:val="none" w:sz="0" w:space="0" w:color="auto"/>
        <w:left w:val="none" w:sz="0" w:space="0" w:color="auto"/>
        <w:bottom w:val="none" w:sz="0" w:space="0" w:color="auto"/>
        <w:right w:val="none" w:sz="0" w:space="0" w:color="auto"/>
      </w:divBdr>
    </w:div>
    <w:div w:id="522477806">
      <w:bodyDiv w:val="1"/>
      <w:marLeft w:val="0"/>
      <w:marRight w:val="0"/>
      <w:marTop w:val="0"/>
      <w:marBottom w:val="0"/>
      <w:divBdr>
        <w:top w:val="none" w:sz="0" w:space="0" w:color="auto"/>
        <w:left w:val="none" w:sz="0" w:space="0" w:color="auto"/>
        <w:bottom w:val="none" w:sz="0" w:space="0" w:color="auto"/>
        <w:right w:val="none" w:sz="0" w:space="0" w:color="auto"/>
      </w:divBdr>
    </w:div>
    <w:div w:id="571619775">
      <w:bodyDiv w:val="1"/>
      <w:marLeft w:val="0"/>
      <w:marRight w:val="0"/>
      <w:marTop w:val="0"/>
      <w:marBottom w:val="0"/>
      <w:divBdr>
        <w:top w:val="none" w:sz="0" w:space="0" w:color="auto"/>
        <w:left w:val="none" w:sz="0" w:space="0" w:color="auto"/>
        <w:bottom w:val="none" w:sz="0" w:space="0" w:color="auto"/>
        <w:right w:val="none" w:sz="0" w:space="0" w:color="auto"/>
      </w:divBdr>
    </w:div>
    <w:div w:id="586691965">
      <w:bodyDiv w:val="1"/>
      <w:marLeft w:val="0"/>
      <w:marRight w:val="0"/>
      <w:marTop w:val="0"/>
      <w:marBottom w:val="0"/>
      <w:divBdr>
        <w:top w:val="none" w:sz="0" w:space="0" w:color="auto"/>
        <w:left w:val="none" w:sz="0" w:space="0" w:color="auto"/>
        <w:bottom w:val="none" w:sz="0" w:space="0" w:color="auto"/>
        <w:right w:val="none" w:sz="0" w:space="0" w:color="auto"/>
      </w:divBdr>
    </w:div>
    <w:div w:id="608050604">
      <w:bodyDiv w:val="1"/>
      <w:marLeft w:val="0"/>
      <w:marRight w:val="0"/>
      <w:marTop w:val="0"/>
      <w:marBottom w:val="0"/>
      <w:divBdr>
        <w:top w:val="none" w:sz="0" w:space="0" w:color="auto"/>
        <w:left w:val="none" w:sz="0" w:space="0" w:color="auto"/>
        <w:bottom w:val="none" w:sz="0" w:space="0" w:color="auto"/>
        <w:right w:val="none" w:sz="0" w:space="0" w:color="auto"/>
      </w:divBdr>
    </w:div>
    <w:div w:id="939413833">
      <w:bodyDiv w:val="1"/>
      <w:marLeft w:val="0"/>
      <w:marRight w:val="0"/>
      <w:marTop w:val="0"/>
      <w:marBottom w:val="0"/>
      <w:divBdr>
        <w:top w:val="none" w:sz="0" w:space="0" w:color="auto"/>
        <w:left w:val="none" w:sz="0" w:space="0" w:color="auto"/>
        <w:bottom w:val="none" w:sz="0" w:space="0" w:color="auto"/>
        <w:right w:val="none" w:sz="0" w:space="0" w:color="auto"/>
      </w:divBdr>
    </w:div>
    <w:div w:id="1089961868">
      <w:bodyDiv w:val="1"/>
      <w:marLeft w:val="0"/>
      <w:marRight w:val="0"/>
      <w:marTop w:val="0"/>
      <w:marBottom w:val="0"/>
      <w:divBdr>
        <w:top w:val="none" w:sz="0" w:space="0" w:color="auto"/>
        <w:left w:val="none" w:sz="0" w:space="0" w:color="auto"/>
        <w:bottom w:val="none" w:sz="0" w:space="0" w:color="auto"/>
        <w:right w:val="none" w:sz="0" w:space="0" w:color="auto"/>
      </w:divBdr>
    </w:div>
    <w:div w:id="1107887228">
      <w:bodyDiv w:val="1"/>
      <w:marLeft w:val="0"/>
      <w:marRight w:val="0"/>
      <w:marTop w:val="0"/>
      <w:marBottom w:val="0"/>
      <w:divBdr>
        <w:top w:val="none" w:sz="0" w:space="0" w:color="auto"/>
        <w:left w:val="none" w:sz="0" w:space="0" w:color="auto"/>
        <w:bottom w:val="none" w:sz="0" w:space="0" w:color="auto"/>
        <w:right w:val="none" w:sz="0" w:space="0" w:color="auto"/>
      </w:divBdr>
    </w:div>
    <w:div w:id="1154106601">
      <w:bodyDiv w:val="1"/>
      <w:marLeft w:val="0"/>
      <w:marRight w:val="0"/>
      <w:marTop w:val="0"/>
      <w:marBottom w:val="0"/>
      <w:divBdr>
        <w:top w:val="none" w:sz="0" w:space="0" w:color="auto"/>
        <w:left w:val="none" w:sz="0" w:space="0" w:color="auto"/>
        <w:bottom w:val="none" w:sz="0" w:space="0" w:color="auto"/>
        <w:right w:val="none" w:sz="0" w:space="0" w:color="auto"/>
      </w:divBdr>
    </w:div>
    <w:div w:id="1263028503">
      <w:bodyDiv w:val="1"/>
      <w:marLeft w:val="0"/>
      <w:marRight w:val="0"/>
      <w:marTop w:val="0"/>
      <w:marBottom w:val="0"/>
      <w:divBdr>
        <w:top w:val="none" w:sz="0" w:space="0" w:color="auto"/>
        <w:left w:val="none" w:sz="0" w:space="0" w:color="auto"/>
        <w:bottom w:val="none" w:sz="0" w:space="0" w:color="auto"/>
        <w:right w:val="none" w:sz="0" w:space="0" w:color="auto"/>
      </w:divBdr>
    </w:div>
    <w:div w:id="1495413759">
      <w:bodyDiv w:val="1"/>
      <w:marLeft w:val="0"/>
      <w:marRight w:val="0"/>
      <w:marTop w:val="0"/>
      <w:marBottom w:val="0"/>
      <w:divBdr>
        <w:top w:val="none" w:sz="0" w:space="0" w:color="auto"/>
        <w:left w:val="none" w:sz="0" w:space="0" w:color="auto"/>
        <w:bottom w:val="none" w:sz="0" w:space="0" w:color="auto"/>
        <w:right w:val="none" w:sz="0" w:space="0" w:color="auto"/>
      </w:divBdr>
    </w:div>
    <w:div w:id="1517158819">
      <w:bodyDiv w:val="1"/>
      <w:marLeft w:val="0"/>
      <w:marRight w:val="0"/>
      <w:marTop w:val="0"/>
      <w:marBottom w:val="0"/>
      <w:divBdr>
        <w:top w:val="none" w:sz="0" w:space="0" w:color="auto"/>
        <w:left w:val="none" w:sz="0" w:space="0" w:color="auto"/>
        <w:bottom w:val="none" w:sz="0" w:space="0" w:color="auto"/>
        <w:right w:val="none" w:sz="0" w:space="0" w:color="auto"/>
      </w:divBdr>
      <w:divsChild>
        <w:div w:id="1716277496">
          <w:marLeft w:val="0"/>
          <w:marRight w:val="0"/>
          <w:marTop w:val="0"/>
          <w:marBottom w:val="0"/>
          <w:divBdr>
            <w:top w:val="none" w:sz="0" w:space="0" w:color="auto"/>
            <w:left w:val="none" w:sz="0" w:space="0" w:color="auto"/>
            <w:bottom w:val="none" w:sz="0" w:space="0" w:color="auto"/>
            <w:right w:val="none" w:sz="0" w:space="0" w:color="auto"/>
          </w:divBdr>
        </w:div>
        <w:div w:id="1545291130">
          <w:marLeft w:val="0"/>
          <w:marRight w:val="0"/>
          <w:marTop w:val="0"/>
          <w:marBottom w:val="0"/>
          <w:divBdr>
            <w:top w:val="none" w:sz="0" w:space="0" w:color="auto"/>
            <w:left w:val="none" w:sz="0" w:space="0" w:color="auto"/>
            <w:bottom w:val="none" w:sz="0" w:space="0" w:color="auto"/>
            <w:right w:val="none" w:sz="0" w:space="0" w:color="auto"/>
          </w:divBdr>
        </w:div>
        <w:div w:id="1783063092">
          <w:marLeft w:val="0"/>
          <w:marRight w:val="0"/>
          <w:marTop w:val="0"/>
          <w:marBottom w:val="0"/>
          <w:divBdr>
            <w:top w:val="none" w:sz="0" w:space="0" w:color="auto"/>
            <w:left w:val="none" w:sz="0" w:space="0" w:color="auto"/>
            <w:bottom w:val="none" w:sz="0" w:space="0" w:color="auto"/>
            <w:right w:val="none" w:sz="0" w:space="0" w:color="auto"/>
          </w:divBdr>
        </w:div>
        <w:div w:id="2119985937">
          <w:marLeft w:val="0"/>
          <w:marRight w:val="0"/>
          <w:marTop w:val="0"/>
          <w:marBottom w:val="0"/>
          <w:divBdr>
            <w:top w:val="none" w:sz="0" w:space="0" w:color="auto"/>
            <w:left w:val="none" w:sz="0" w:space="0" w:color="auto"/>
            <w:bottom w:val="none" w:sz="0" w:space="0" w:color="auto"/>
            <w:right w:val="none" w:sz="0" w:space="0" w:color="auto"/>
          </w:divBdr>
        </w:div>
        <w:div w:id="336004562">
          <w:marLeft w:val="0"/>
          <w:marRight w:val="0"/>
          <w:marTop w:val="0"/>
          <w:marBottom w:val="0"/>
          <w:divBdr>
            <w:top w:val="none" w:sz="0" w:space="0" w:color="auto"/>
            <w:left w:val="none" w:sz="0" w:space="0" w:color="auto"/>
            <w:bottom w:val="none" w:sz="0" w:space="0" w:color="auto"/>
            <w:right w:val="none" w:sz="0" w:space="0" w:color="auto"/>
          </w:divBdr>
        </w:div>
      </w:divsChild>
    </w:div>
    <w:div w:id="1886260019">
      <w:bodyDiv w:val="1"/>
      <w:marLeft w:val="0"/>
      <w:marRight w:val="0"/>
      <w:marTop w:val="0"/>
      <w:marBottom w:val="0"/>
      <w:divBdr>
        <w:top w:val="none" w:sz="0" w:space="0" w:color="auto"/>
        <w:left w:val="none" w:sz="0" w:space="0" w:color="auto"/>
        <w:bottom w:val="none" w:sz="0" w:space="0" w:color="auto"/>
        <w:right w:val="none" w:sz="0" w:space="0" w:color="auto"/>
      </w:divBdr>
    </w:div>
    <w:div w:id="19309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tps.dk/da/laering/risikoomraader/antipsykotisk-medicin-og-demens/~/media/2C76237BA5134E9FBB236CC52AFD6B3B.ash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t.dk/da/Puljer/Pulje-til-praksisnaert-kompetenceloeft-til-nedbringelse-af-antipsykotisk-medi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BC9F-2D18-4BE2-BCA6-7827E115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2326</Words>
  <Characters>14192</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National Board of Health</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Stine Schou Mikkelsen</dc:creator>
  <cp:lastModifiedBy>Rasmus Højer-Pedersen</cp:lastModifiedBy>
  <cp:revision>3</cp:revision>
  <cp:lastPrinted>2020-08-18T07:21:00Z</cp:lastPrinted>
  <dcterms:created xsi:type="dcterms:W3CDTF">2021-09-09T08:14:00Z</dcterms:created>
  <dcterms:modified xsi:type="dcterms:W3CDTF">2021-09-10T08:42:00Z</dcterms:modified>
</cp:coreProperties>
</file>