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D7" w:rsidRPr="002C3359" w:rsidRDefault="006B54D7" w:rsidP="006B54D7">
      <w:pPr>
        <w:pStyle w:val="Overskrift1"/>
        <w:rPr>
          <w:sz w:val="24"/>
          <w:szCs w:val="24"/>
        </w:rPr>
      </w:pPr>
      <w:r w:rsidRPr="002C3359">
        <w:rPr>
          <w:sz w:val="24"/>
          <w:szCs w:val="24"/>
        </w:rPr>
        <w:t xml:space="preserve">Beskrivelse </w:t>
      </w:r>
      <w:r>
        <w:rPr>
          <w:sz w:val="24"/>
          <w:szCs w:val="24"/>
        </w:rPr>
        <w:t>af proces for overgangen, fra Ung til Voksen - UTV</w:t>
      </w:r>
      <w:r w:rsidRPr="002C3359">
        <w:rPr>
          <w:sz w:val="24"/>
          <w:szCs w:val="24"/>
        </w:rPr>
        <w:t xml:space="preserve"> </w:t>
      </w:r>
    </w:p>
    <w:p w:rsidR="006B54D7" w:rsidRDefault="006B54D7" w:rsidP="006B54D7">
      <w:bookmarkStart w:id="0" w:name="OneClickDocumentStartBookmark"/>
      <w:bookmarkEnd w:id="0"/>
    </w:p>
    <w:p w:rsidR="006B54D7" w:rsidRPr="00184BA8" w:rsidRDefault="006B54D7" w:rsidP="006B54D7">
      <w:pPr>
        <w:rPr>
          <w:rFonts w:cstheme="minorHAnsi"/>
          <w:b/>
          <w:sz w:val="24"/>
          <w:szCs w:val="24"/>
        </w:rPr>
      </w:pPr>
      <w:r w:rsidRPr="00184BA8">
        <w:rPr>
          <w:rFonts w:cstheme="minorHAnsi"/>
          <w:b/>
          <w:sz w:val="24"/>
          <w:szCs w:val="24"/>
        </w:rPr>
        <w:t>Formål</w:t>
      </w:r>
      <w:r>
        <w:rPr>
          <w:rFonts w:cstheme="minorHAnsi"/>
          <w:b/>
          <w:sz w:val="24"/>
          <w:szCs w:val="24"/>
        </w:rPr>
        <w:t xml:space="preserve"> med procesbeskrivelsen</w:t>
      </w:r>
    </w:p>
    <w:p w:rsidR="006B54D7" w:rsidRPr="00EF7AE1" w:rsidRDefault="006B54D7" w:rsidP="006B54D7">
      <w:pPr>
        <w:rPr>
          <w:rFonts w:cstheme="minorHAnsi"/>
          <w:b/>
        </w:rPr>
      </w:pPr>
    </w:p>
    <w:p w:rsidR="006B54D7" w:rsidRDefault="006B54D7" w:rsidP="006B54D7">
      <w:pPr>
        <w:rPr>
          <w:rFonts w:cstheme="minorHAnsi"/>
        </w:rPr>
      </w:pPr>
      <w:r>
        <w:rPr>
          <w:rFonts w:cstheme="minorHAnsi"/>
        </w:rPr>
        <w:t>At alle unge i kommunen har mulighed for at få en god overgang fra ungdommen til voksenlivet igennem en tværfaglig og helhedsorienteret indgangsvinkel. Proceduren har særligt fokus på unge med betydelig og varigt nedsat fysisk eller psykisk funktionsevne eller indgribende kronisk eller langvarig lidelse, som allerede modtager støtte.</w:t>
      </w:r>
    </w:p>
    <w:p w:rsidR="006B54D7" w:rsidRDefault="006B54D7" w:rsidP="006B54D7"/>
    <w:p w:rsidR="006B54D7" w:rsidRDefault="006B54D7" w:rsidP="006B54D7">
      <w:pPr>
        <w:rPr>
          <w:rFonts w:cstheme="minorHAnsi"/>
        </w:rPr>
      </w:pPr>
      <w:r>
        <w:t>At den unge og familien er medinddraget og deltagende i processen,</w:t>
      </w:r>
      <w:r>
        <w:rPr>
          <w:rFonts w:cstheme="minorHAnsi"/>
        </w:rPr>
        <w:t xml:space="preserve"> og dermed sikre at den unge og forældrene er vejledt og rådgivet, ud fra lovgivningens rammer og muligheder, samt får den hjælp og støtte den, unge har behov for efter det 18 år.</w:t>
      </w:r>
    </w:p>
    <w:p w:rsidR="006B54D7" w:rsidRDefault="006B54D7" w:rsidP="006B54D7">
      <w:pPr>
        <w:rPr>
          <w:rFonts w:cstheme="minorHAnsi"/>
        </w:rPr>
      </w:pPr>
    </w:p>
    <w:p w:rsidR="006B54D7" w:rsidRDefault="006B54D7" w:rsidP="006B54D7">
      <w:pPr>
        <w:rPr>
          <w:rFonts w:cstheme="minorHAnsi"/>
        </w:rPr>
      </w:pPr>
      <w:r w:rsidRPr="00E85C90">
        <w:rPr>
          <w:rFonts w:cstheme="minorHAnsi"/>
        </w:rPr>
        <w:t>Mødet tager afsæt i lovgivning</w:t>
      </w:r>
      <w:r>
        <w:rPr>
          <w:rFonts w:cstheme="minorHAnsi"/>
        </w:rPr>
        <w:t>,</w:t>
      </w:r>
      <w:r w:rsidRPr="00E85C90">
        <w:rPr>
          <w:rFonts w:cstheme="minorHAnsi"/>
        </w:rPr>
        <w:t xml:space="preserve"> om tværgående og helhedsorienteret dialog, jf. Serviceloven § 19a.</w:t>
      </w:r>
    </w:p>
    <w:p w:rsidR="006B54D7" w:rsidRPr="00E85C90" w:rsidRDefault="006B54D7" w:rsidP="006B54D7">
      <w:pPr>
        <w:rPr>
          <w:rFonts w:cstheme="minorHAnsi"/>
        </w:rPr>
      </w:pPr>
    </w:p>
    <w:p w:rsidR="006B54D7" w:rsidRPr="006B54D7" w:rsidRDefault="006B54D7" w:rsidP="006B54D7">
      <w:pPr>
        <w:pStyle w:val="NormalWeb"/>
      </w:pPr>
      <w:r>
        <w:rPr>
          <w:rFonts w:ascii="Georgia" w:hAnsi="Georgia" w:cstheme="minorHAnsi"/>
          <w:sz w:val="22"/>
          <w:szCs w:val="22"/>
        </w:rPr>
        <w:t>Der er fokus på følgende områder: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7320"/>
      </w:tblGrid>
      <w:tr w:rsidR="006B54D7" w:rsidTr="0031664C">
        <w:trPr>
          <w:tblCellSpacing w:w="15" w:type="dxa"/>
        </w:trPr>
        <w:tc>
          <w:tcPr>
            <w:tcW w:w="180" w:type="dxa"/>
            <w:hideMark/>
          </w:tcPr>
          <w:p w:rsidR="006B54D7" w:rsidRDefault="006B54D7" w:rsidP="0031664C">
            <w:pPr>
              <w:jc w:val="right"/>
            </w:pPr>
            <w:r>
              <w:t>1) </w:t>
            </w:r>
          </w:p>
        </w:tc>
        <w:tc>
          <w:tcPr>
            <w:tcW w:w="0" w:type="auto"/>
            <w:vAlign w:val="center"/>
            <w:hideMark/>
          </w:tcPr>
          <w:p w:rsidR="006B54D7" w:rsidRDefault="006B54D7" w:rsidP="0031664C">
            <w:r>
              <w:t>Behov for hjælp og støtte som følge af funktionsnedsættelsen eller lidelsen.</w:t>
            </w:r>
          </w:p>
        </w:tc>
      </w:tr>
      <w:tr w:rsidR="006B54D7" w:rsidTr="0031664C">
        <w:trPr>
          <w:tblCellSpacing w:w="15" w:type="dxa"/>
        </w:trPr>
        <w:tc>
          <w:tcPr>
            <w:tcW w:w="180" w:type="dxa"/>
            <w:hideMark/>
          </w:tcPr>
          <w:p w:rsidR="006B54D7" w:rsidRDefault="006B54D7" w:rsidP="0031664C">
            <w:pPr>
              <w:jc w:val="right"/>
            </w:pPr>
            <w:r>
              <w:t>2) </w:t>
            </w:r>
          </w:p>
        </w:tc>
        <w:tc>
          <w:tcPr>
            <w:tcW w:w="0" w:type="auto"/>
            <w:vAlign w:val="center"/>
            <w:hideMark/>
          </w:tcPr>
          <w:p w:rsidR="006B54D7" w:rsidRDefault="006B54D7" w:rsidP="0031664C">
            <w:r>
              <w:t>Uddannelse.</w:t>
            </w:r>
          </w:p>
        </w:tc>
      </w:tr>
      <w:tr w:rsidR="006B54D7" w:rsidTr="0031664C">
        <w:trPr>
          <w:tblCellSpacing w:w="15" w:type="dxa"/>
        </w:trPr>
        <w:tc>
          <w:tcPr>
            <w:tcW w:w="180" w:type="dxa"/>
            <w:hideMark/>
          </w:tcPr>
          <w:p w:rsidR="006B54D7" w:rsidRDefault="006B54D7" w:rsidP="0031664C">
            <w:pPr>
              <w:jc w:val="right"/>
            </w:pPr>
            <w:r>
              <w:t>3) </w:t>
            </w:r>
          </w:p>
        </w:tc>
        <w:tc>
          <w:tcPr>
            <w:tcW w:w="0" w:type="auto"/>
            <w:vAlign w:val="center"/>
            <w:hideMark/>
          </w:tcPr>
          <w:p w:rsidR="006B54D7" w:rsidRDefault="006B54D7" w:rsidP="0031664C">
            <w:r>
              <w:t>Beskæftigelse og forsørgelsesgrundlag.</w:t>
            </w:r>
          </w:p>
        </w:tc>
      </w:tr>
      <w:tr w:rsidR="006B54D7" w:rsidTr="0031664C">
        <w:trPr>
          <w:tblCellSpacing w:w="15" w:type="dxa"/>
        </w:trPr>
        <w:tc>
          <w:tcPr>
            <w:tcW w:w="180" w:type="dxa"/>
            <w:hideMark/>
          </w:tcPr>
          <w:p w:rsidR="006B54D7" w:rsidRDefault="006B54D7" w:rsidP="0031664C">
            <w:pPr>
              <w:jc w:val="right"/>
            </w:pPr>
            <w:r>
              <w:t>4) </w:t>
            </w:r>
          </w:p>
        </w:tc>
        <w:tc>
          <w:tcPr>
            <w:tcW w:w="0" w:type="auto"/>
            <w:vAlign w:val="center"/>
            <w:hideMark/>
          </w:tcPr>
          <w:p w:rsidR="006B54D7" w:rsidRDefault="006B54D7" w:rsidP="0031664C">
            <w:r>
              <w:t>Boligforhold.</w:t>
            </w:r>
          </w:p>
        </w:tc>
      </w:tr>
      <w:tr w:rsidR="006B54D7" w:rsidTr="0031664C">
        <w:trPr>
          <w:tblCellSpacing w:w="15" w:type="dxa"/>
        </w:trPr>
        <w:tc>
          <w:tcPr>
            <w:tcW w:w="180" w:type="dxa"/>
            <w:hideMark/>
          </w:tcPr>
          <w:p w:rsidR="006B54D7" w:rsidRDefault="006B54D7" w:rsidP="0031664C">
            <w:pPr>
              <w:jc w:val="right"/>
            </w:pPr>
            <w:r>
              <w:t>5) </w:t>
            </w:r>
          </w:p>
        </w:tc>
        <w:tc>
          <w:tcPr>
            <w:tcW w:w="0" w:type="auto"/>
            <w:vAlign w:val="center"/>
            <w:hideMark/>
          </w:tcPr>
          <w:p w:rsidR="006B54D7" w:rsidRDefault="006B54D7" w:rsidP="0031664C">
            <w:r>
              <w:t>Sociale forhold.</w:t>
            </w:r>
          </w:p>
        </w:tc>
      </w:tr>
      <w:tr w:rsidR="006B54D7" w:rsidTr="0031664C">
        <w:trPr>
          <w:tblCellSpacing w:w="15" w:type="dxa"/>
        </w:trPr>
        <w:tc>
          <w:tcPr>
            <w:tcW w:w="180" w:type="dxa"/>
            <w:hideMark/>
          </w:tcPr>
          <w:p w:rsidR="006B54D7" w:rsidRDefault="006B54D7" w:rsidP="0031664C">
            <w:pPr>
              <w:jc w:val="right"/>
            </w:pPr>
            <w:r>
              <w:t>6) </w:t>
            </w:r>
          </w:p>
        </w:tc>
        <w:tc>
          <w:tcPr>
            <w:tcW w:w="0" w:type="auto"/>
            <w:vAlign w:val="center"/>
            <w:hideMark/>
          </w:tcPr>
          <w:p w:rsidR="006B54D7" w:rsidRDefault="006B54D7" w:rsidP="0031664C">
            <w:r>
              <w:t>Øvrige relevante forhold.</w:t>
            </w:r>
          </w:p>
        </w:tc>
      </w:tr>
    </w:tbl>
    <w:p w:rsidR="006B54D7" w:rsidRDefault="006B54D7" w:rsidP="006B54D7">
      <w:pPr>
        <w:rPr>
          <w:rFonts w:cstheme="minorHAnsi"/>
        </w:rPr>
      </w:pPr>
    </w:p>
    <w:p w:rsidR="006B54D7" w:rsidRPr="008C60F0" w:rsidRDefault="006B54D7" w:rsidP="006B54D7">
      <w:pPr>
        <w:rPr>
          <w:rFonts w:cstheme="minorHAnsi"/>
          <w:b/>
          <w:sz w:val="24"/>
          <w:szCs w:val="24"/>
        </w:rPr>
      </w:pPr>
      <w:r w:rsidRPr="00184BA8">
        <w:rPr>
          <w:rFonts w:cstheme="minorHAnsi"/>
          <w:b/>
          <w:sz w:val="24"/>
          <w:szCs w:val="24"/>
        </w:rPr>
        <w:t>Ung til Voksen (UTV) møder</w:t>
      </w:r>
    </w:p>
    <w:p w:rsidR="006B54D7" w:rsidRDefault="006B54D7" w:rsidP="006B54D7">
      <w:pPr>
        <w:rPr>
          <w:rFonts w:cstheme="minorHAnsi"/>
          <w:b/>
        </w:rPr>
      </w:pPr>
    </w:p>
    <w:p w:rsidR="006B54D7" w:rsidRPr="00B82EF6" w:rsidRDefault="006B54D7" w:rsidP="006B54D7">
      <w:pPr>
        <w:rPr>
          <w:rFonts w:cstheme="minorHAnsi"/>
        </w:rPr>
      </w:pPr>
      <w:r>
        <w:rPr>
          <w:rFonts w:cstheme="minorHAnsi"/>
        </w:rPr>
        <w:t xml:space="preserve">Der afholdes administrerende </w:t>
      </w:r>
      <w:r>
        <w:t>kvartalsmøder (maj – august – november – februar) fra 14,10 år – 16 år</w:t>
      </w:r>
    </w:p>
    <w:p w:rsidR="006B54D7" w:rsidRDefault="006B54D7" w:rsidP="006B54D7">
      <w:r>
        <w:rPr>
          <w:u w:val="single"/>
        </w:rPr>
        <w:t>Faste d</w:t>
      </w:r>
      <w:r w:rsidRPr="00D0364B">
        <w:rPr>
          <w:u w:val="single"/>
        </w:rPr>
        <w:t>eltager</w:t>
      </w:r>
      <w:r>
        <w:rPr>
          <w:u w:val="single"/>
        </w:rPr>
        <w:t>e</w:t>
      </w:r>
      <w:r w:rsidRPr="00D0364B">
        <w:rPr>
          <w:u w:val="single"/>
        </w:rPr>
        <w:t>:</w:t>
      </w:r>
      <w:r>
        <w:t xml:space="preserve"> Faglig koordinator fra ungeenheden</w:t>
      </w:r>
      <w:r w:rsidRPr="00051495">
        <w:t xml:space="preserve">, </w:t>
      </w:r>
      <w:r>
        <w:t>Socialrådgiver</w:t>
      </w:r>
      <w:r w:rsidRPr="00051495">
        <w:t xml:space="preserve"> fra myndighed/social, Faglig koordinator fra småbørns og Børnehandicap</w:t>
      </w:r>
      <w:r>
        <w:t>, UU-vejleder. Team leder</w:t>
      </w:r>
      <w:r w:rsidRPr="00051495">
        <w:t xml:space="preserve"> fra myndighed/sundhed deltager</w:t>
      </w:r>
      <w:r>
        <w:t xml:space="preserve"> efter behov.</w:t>
      </w:r>
    </w:p>
    <w:p w:rsidR="006B54D7" w:rsidRDefault="006B54D7" w:rsidP="006B54D7"/>
    <w:p w:rsidR="006B54D7" w:rsidRDefault="006B54D7" w:rsidP="006B54D7">
      <w:r>
        <w:t xml:space="preserve">Socialrådgiverne giver Faglig koordinator fra småbørns og Børnehandicap besked hvis der er en ung, allerede fra de er 14,10 år gammel, der forventes at skulle få brug for støtte efter det 18 år. </w:t>
      </w:r>
    </w:p>
    <w:p w:rsidR="006B54D7" w:rsidRDefault="006B54D7" w:rsidP="006B54D7">
      <w:r>
        <w:t xml:space="preserve">Faglig koordinator sørger for at samle oplysninger sammen, som aftales med socialrådgiver om at den unge kan drøftes på et administrerende kvartalsmøde. </w:t>
      </w:r>
    </w:p>
    <w:p w:rsidR="006B54D7" w:rsidRDefault="006B54D7" w:rsidP="006B54D7">
      <w:pPr>
        <w:pStyle w:val="Listeafsnit"/>
      </w:pPr>
    </w:p>
    <w:p w:rsidR="006B54D7" w:rsidRDefault="006B54D7" w:rsidP="006B54D7">
      <w:pPr>
        <w:spacing w:line="240" w:lineRule="auto"/>
      </w:pPr>
      <w:r>
        <w:t>I forlængelse af de planlagte administrerende kvartalsmøder afholdes 16 års og 17 ¼ års møde.</w:t>
      </w:r>
    </w:p>
    <w:p w:rsidR="006B54D7" w:rsidRDefault="006B54D7" w:rsidP="006B54D7">
      <w:r>
        <w:t>På mødet kan der også drøftes unge der ikke har en børnesag, men hvor der er brug for tværfaglig sparring.</w:t>
      </w:r>
    </w:p>
    <w:p w:rsidR="006B54D7" w:rsidRDefault="006B54D7" w:rsidP="006B54D7">
      <w:r w:rsidRPr="00051495">
        <w:rPr>
          <w:u w:val="single"/>
        </w:rPr>
        <w:t>Faste deltager</w:t>
      </w:r>
      <w:r w:rsidRPr="00051495">
        <w:t xml:space="preserve">: Faglig koordinator fra ungeenheden, </w:t>
      </w:r>
      <w:r>
        <w:t>Socialrådgiver</w:t>
      </w:r>
      <w:r w:rsidRPr="00051495">
        <w:t xml:space="preserve"> fra myndighed/social, Faglig koordinator fra småbørns og Børnehandicap, Beskæftigelses socialrådgiver fra ungeenheden</w:t>
      </w:r>
      <w:r>
        <w:t xml:space="preserve">, UU-vejleder. </w:t>
      </w:r>
      <w:r w:rsidRPr="00051495">
        <w:t xml:space="preserve">Team leder fra myndighed/sundhed deltager </w:t>
      </w:r>
      <w:r>
        <w:t xml:space="preserve">efter behov.  </w:t>
      </w:r>
    </w:p>
    <w:p w:rsidR="006B54D7" w:rsidRDefault="006B54D7" w:rsidP="006B54D7"/>
    <w:p w:rsidR="006B54D7" w:rsidRPr="00184BA8" w:rsidRDefault="006B54D7" w:rsidP="006B54D7">
      <w:pPr>
        <w:rPr>
          <w:b/>
          <w:u w:val="single"/>
        </w:rPr>
      </w:pPr>
      <w:r w:rsidRPr="00184BA8">
        <w:rPr>
          <w:b/>
          <w:u w:val="single"/>
        </w:rPr>
        <w:t>Forberedelse til UTV møderne</w:t>
      </w:r>
    </w:p>
    <w:p w:rsidR="006B54D7" w:rsidRDefault="006B54D7" w:rsidP="006B54D7">
      <w:pPr>
        <w:rPr>
          <w:rFonts w:cstheme="minorHAnsi"/>
        </w:rPr>
      </w:pPr>
    </w:p>
    <w:p w:rsidR="006B54D7" w:rsidRDefault="006B54D7" w:rsidP="006B54D7">
      <w:pPr>
        <w:rPr>
          <w:rFonts w:cstheme="minorHAnsi"/>
        </w:rPr>
      </w:pPr>
      <w:r>
        <w:rPr>
          <w:rFonts w:cstheme="minorHAnsi"/>
        </w:rPr>
        <w:t xml:space="preserve">Faglig koordinator fra småbørnsafdelingen og Børnehandicap opdaterer løbende den dynamiske listen (som ligger i &lt;sagsbehandlingssystem&gt;) med overblik over de unge, der har brug for at blive drøftet på UTV møderne. Alle socialrådgiver både fra ungeenheden, småbørn og Børnehandicap </w:t>
      </w:r>
      <w:r>
        <w:rPr>
          <w:rFonts w:cstheme="minorHAnsi"/>
        </w:rPr>
        <w:lastRenderedPageBreak/>
        <w:t>melder ind, når der forventes behov for at den pågældende unge skal drøftet på UTV mødet. Dette er altid i samarbejde med forældrene og den unge.</w:t>
      </w:r>
    </w:p>
    <w:p w:rsidR="006B54D7" w:rsidRDefault="006B54D7" w:rsidP="006B54D7">
      <w:pPr>
        <w:rPr>
          <w:rFonts w:cstheme="minorHAnsi"/>
        </w:rPr>
      </w:pPr>
    </w:p>
    <w:p w:rsidR="006B54D7" w:rsidRDefault="006B54D7" w:rsidP="006B54D7">
      <w:pPr>
        <w:rPr>
          <w:rFonts w:cstheme="minorHAnsi"/>
        </w:rPr>
      </w:pPr>
      <w:r>
        <w:rPr>
          <w:rFonts w:cstheme="minorHAnsi"/>
        </w:rPr>
        <w:t xml:space="preserve">Socialrådgiverne deltager ad hoc, i disse møder. Socialrådgiveren bliver indkaldt af faglig koordinator til mødet ca. 1 måned inden, når der er en ung der har behov for særligt støtte efter det 18 år. </w:t>
      </w:r>
    </w:p>
    <w:p w:rsidR="006B54D7" w:rsidRDefault="006B54D7" w:rsidP="006B54D7">
      <w:pPr>
        <w:rPr>
          <w:rFonts w:cstheme="minorHAnsi"/>
        </w:rPr>
      </w:pPr>
    </w:p>
    <w:p w:rsidR="006B54D7" w:rsidRDefault="006B54D7" w:rsidP="006B54D7">
      <w:pPr>
        <w:rPr>
          <w:rFonts w:cstheme="minorHAnsi"/>
        </w:rPr>
      </w:pPr>
      <w:r>
        <w:rPr>
          <w:rFonts w:cstheme="minorHAnsi"/>
        </w:rPr>
        <w:t>Sekretariatet udarbejder en dagsorden ud fra den dynamiske liste fra &lt;sagsbehandlingssystem&gt;, som sendes til socialrådgiverne, som er rådgiver for den unge.</w:t>
      </w:r>
    </w:p>
    <w:p w:rsidR="006B54D7" w:rsidRDefault="006B54D7" w:rsidP="006B54D7"/>
    <w:p w:rsidR="006B54D7" w:rsidRDefault="006B54D7" w:rsidP="006B54D7">
      <w:r>
        <w:t>Som forberedelse til kvartalsmøderne, sender socialrådgiveren for den unge både ved 16 år og 17 ¼ år, overdragelses skema inkl. relevante bilag, til sekretariatet i Børn og familie, som sætter på dagsorden og sender ud 1 uge forinden mødet.</w:t>
      </w:r>
    </w:p>
    <w:p w:rsidR="006B54D7" w:rsidRDefault="006B54D7" w:rsidP="006B54D7"/>
    <w:p w:rsidR="006B54D7" w:rsidRDefault="006B54D7" w:rsidP="006B54D7">
      <w:r>
        <w:t>Der skal ikke laves skema for de unge ml.- 14,10 – 15 årige. Her mødes socialrådgiver blot til UTV mødet og deler viden omkring den unge, som er vigtig for myndighed/social/sundhed at forberede sig på indtil, den unge fylder 18 år.</w:t>
      </w:r>
    </w:p>
    <w:p w:rsidR="006B54D7" w:rsidRDefault="006B54D7" w:rsidP="006B54D7">
      <w:pPr>
        <w:pStyle w:val="Listeafsnit"/>
      </w:pPr>
    </w:p>
    <w:p w:rsidR="006B54D7" w:rsidRDefault="006B54D7" w:rsidP="006B54D7">
      <w:pPr>
        <w:spacing w:line="240" w:lineRule="auto"/>
      </w:pPr>
      <w:r>
        <w:t>Faglig koordinator fra ungeenheden, står for at drøftelser om evt. behov for efterværn jf. § 76, som afklares inden 17 ¼ års mødet.</w:t>
      </w:r>
    </w:p>
    <w:p w:rsidR="006B54D7" w:rsidRDefault="006B54D7" w:rsidP="006B54D7">
      <w:pPr>
        <w:spacing w:line="240" w:lineRule="auto"/>
      </w:pPr>
    </w:p>
    <w:p w:rsidR="006B54D7" w:rsidRDefault="006B54D7" w:rsidP="006B54D7">
      <w:pPr>
        <w:spacing w:line="240" w:lineRule="auto"/>
      </w:pPr>
      <w:r>
        <w:t>Er der behov for opretholdt anbringelse jf. § 76a, skal dette afklares ved ledelsen inden 17 ¼ års mødet.</w:t>
      </w:r>
    </w:p>
    <w:p w:rsidR="006B54D7" w:rsidRDefault="006B54D7" w:rsidP="006B54D7"/>
    <w:p w:rsidR="006B54D7" w:rsidRPr="00184BA8" w:rsidRDefault="006B54D7" w:rsidP="006B54D7">
      <w:pPr>
        <w:rPr>
          <w:b/>
          <w:u w:val="single"/>
        </w:rPr>
      </w:pPr>
      <w:r w:rsidRPr="00184BA8">
        <w:rPr>
          <w:b/>
          <w:u w:val="single"/>
        </w:rPr>
        <w:t>UTV mødet</w:t>
      </w:r>
    </w:p>
    <w:p w:rsidR="006B54D7" w:rsidRDefault="006B54D7" w:rsidP="006B54D7"/>
    <w:p w:rsidR="006B54D7" w:rsidRDefault="006B54D7" w:rsidP="006B54D7">
      <w:r>
        <w:t>Der er afsat 1 hel dag til mødet, hvert kvartal og er datosat for 1 år af gangen.</w:t>
      </w:r>
    </w:p>
    <w:p w:rsidR="006B54D7" w:rsidRDefault="006B54D7" w:rsidP="006B54D7"/>
    <w:p w:rsidR="006B54D7" w:rsidRDefault="006B54D7" w:rsidP="006B54D7">
      <w:r>
        <w:t>På UTV mødet deltager socialrådgiveren, der har sag på den unge. Der afsættes vanligvis 15-20 min. til drøftelse.</w:t>
      </w:r>
    </w:p>
    <w:p w:rsidR="006B54D7" w:rsidRDefault="006B54D7" w:rsidP="006B54D7"/>
    <w:p w:rsidR="006B54D7" w:rsidRDefault="006B54D7" w:rsidP="006B54D7">
      <w:r>
        <w:rPr>
          <w:rFonts w:cstheme="minorHAnsi"/>
        </w:rPr>
        <w:t xml:space="preserve">Faglig koordinator fra småbørns og Børnehandicap </w:t>
      </w:r>
      <w:r>
        <w:t>laver kort referat med aftaler, som sendes til den enkelte socialrådgiver efter mødet, som lægges på sagen i DUBU.</w:t>
      </w:r>
    </w:p>
    <w:p w:rsidR="006B54D7" w:rsidRDefault="006B54D7" w:rsidP="006B54D7"/>
    <w:p w:rsidR="006B54D7" w:rsidRDefault="006B54D7" w:rsidP="006B54D7">
      <w:r>
        <w:t>Socialrådgiver fra myndighed/social, opdaterer den dynamiske listen i &lt;sagsbehandlingssystem&gt; med overblikket, med nye aftaler.</w:t>
      </w:r>
    </w:p>
    <w:p w:rsidR="006B54D7" w:rsidRDefault="006B54D7" w:rsidP="006B54D7"/>
    <w:p w:rsidR="006B54D7" w:rsidRDefault="006B54D7" w:rsidP="006B54D7">
      <w:r>
        <w:t>På møderne (alt efter individuelt behov) tages stilling til følgende:</w:t>
      </w:r>
    </w:p>
    <w:p w:rsidR="006B54D7" w:rsidRDefault="006B54D7" w:rsidP="006B54D7">
      <w:r>
        <w:t>Behov for hjælp og støtte som følge af funktionsnedsættelsen eller lidelsen, Uddannelse, Boligforhold, Social forhold, Beskæftigelse og forsørgelsesgrundlag, behov for værge, og fra de unge er 17 ¼ år, behov for udarbejdelse af VUM (Voksenudredning).</w:t>
      </w:r>
    </w:p>
    <w:p w:rsidR="006B54D7" w:rsidRDefault="006B54D7" w:rsidP="006B54D7"/>
    <w:p w:rsidR="006B54D7" w:rsidRPr="00184BA8" w:rsidRDefault="006B54D7" w:rsidP="006B54D7">
      <w:pPr>
        <w:rPr>
          <w:b/>
          <w:u w:val="single"/>
        </w:rPr>
      </w:pPr>
      <w:r w:rsidRPr="00184BA8">
        <w:rPr>
          <w:b/>
          <w:u w:val="single"/>
        </w:rPr>
        <w:t>Efter og imellem UTV mødet</w:t>
      </w:r>
    </w:p>
    <w:p w:rsidR="006B54D7" w:rsidRDefault="006B54D7" w:rsidP="006B54D7"/>
    <w:p w:rsidR="006B54D7" w:rsidRDefault="006B54D7" w:rsidP="006B54D7">
      <w:r>
        <w:t>Socialrådgiver følger op på de aftaler der er lavet, og har dialogen med den unge og forældremyndigheden.</w:t>
      </w:r>
    </w:p>
    <w:p w:rsidR="006B54D7" w:rsidRDefault="006B54D7" w:rsidP="006B54D7">
      <w:r>
        <w:t>Socialrådgiver for den unge, inviterer den unge der er fyldt 17 ¼ år, og forældremyndigheden til overdragelsesmøde sammen med ny kontaktperson fra myndighed/social og evt. fra myndighed/sundhed. og evt. også beskæftigelses socialrådgiver fra ungeenheden og UU- vejleder.</w:t>
      </w:r>
    </w:p>
    <w:p w:rsidR="006B54D7" w:rsidRDefault="006B54D7" w:rsidP="006B54D7"/>
    <w:p w:rsidR="006B54D7" w:rsidRDefault="006B54D7" w:rsidP="006B54D7">
      <w:r w:rsidRPr="00051495">
        <w:rPr>
          <w:rFonts w:cstheme="minorHAnsi"/>
        </w:rPr>
        <w:lastRenderedPageBreak/>
        <w:t xml:space="preserve">Faglig koordinator fra </w:t>
      </w:r>
      <w:r>
        <w:rPr>
          <w:rFonts w:cstheme="minorHAnsi"/>
        </w:rPr>
        <w:t>småbørn</w:t>
      </w:r>
      <w:r w:rsidRPr="00051495">
        <w:rPr>
          <w:rFonts w:cstheme="minorHAnsi"/>
        </w:rPr>
        <w:t xml:space="preserve"> og Børnehandicap og </w:t>
      </w:r>
      <w:r>
        <w:t>Socialrådgiver</w:t>
      </w:r>
      <w:r w:rsidRPr="00051495">
        <w:t xml:space="preserve"> fra myndighed/social mødes ca. 1 måned før hvert UTV møde og følger op på de aftaler der sidst blev lavet og sikre der ikke sker mangler. Dette ud fra det dynamiske overbliks skema.</w:t>
      </w:r>
    </w:p>
    <w:p w:rsidR="006B54D7" w:rsidRDefault="006B54D7" w:rsidP="006B54D7"/>
    <w:p w:rsidR="006B54D7" w:rsidRPr="00184BA8" w:rsidRDefault="006B54D7" w:rsidP="006B54D7">
      <w:pPr>
        <w:rPr>
          <w:b/>
          <w:sz w:val="24"/>
          <w:szCs w:val="24"/>
        </w:rPr>
      </w:pPr>
      <w:r w:rsidRPr="00184BA8">
        <w:rPr>
          <w:b/>
          <w:sz w:val="24"/>
          <w:szCs w:val="24"/>
        </w:rPr>
        <w:t>UTV – Tavle overblik</w:t>
      </w:r>
    </w:p>
    <w:p w:rsidR="006B54D7" w:rsidRPr="00524580" w:rsidRDefault="006B54D7" w:rsidP="006B54D7">
      <w:pPr>
        <w:rPr>
          <w:b/>
        </w:rPr>
      </w:pPr>
    </w:p>
    <w:p w:rsidR="006B54D7" w:rsidRDefault="006B54D7" w:rsidP="006B54D7">
      <w:r>
        <w:t xml:space="preserve">Der er udarbejdet en fysisk tavle med overblik over overgangen fra Ung til Voksen, særligt for Børnehandicap området. Tavlen opdateres via kvartalsvis sags gennemgang mellem Børnehandicap socialrådgiverne og Faglig </w:t>
      </w:r>
      <w:r>
        <w:rPr>
          <w:rFonts w:cstheme="minorHAnsi"/>
        </w:rPr>
        <w:t>koordinator fra småbørns og Børnehandicap.</w:t>
      </w:r>
    </w:p>
    <w:p w:rsidR="006B54D7" w:rsidRDefault="006B54D7" w:rsidP="006B54D7">
      <w:pPr>
        <w:rPr>
          <w:b/>
          <w:sz w:val="24"/>
          <w:szCs w:val="24"/>
        </w:rPr>
      </w:pPr>
    </w:p>
    <w:p w:rsidR="006B54D7" w:rsidRPr="00184BA8" w:rsidRDefault="006B54D7" w:rsidP="006B54D7">
      <w:pPr>
        <w:rPr>
          <w:b/>
          <w:sz w:val="24"/>
          <w:szCs w:val="24"/>
        </w:rPr>
      </w:pPr>
      <w:r w:rsidRPr="00184BA8">
        <w:rPr>
          <w:b/>
          <w:sz w:val="24"/>
          <w:szCs w:val="24"/>
        </w:rPr>
        <w:t>Værgemålssamtalen</w:t>
      </w:r>
    </w:p>
    <w:p w:rsidR="006B54D7" w:rsidRPr="00693738" w:rsidRDefault="006B54D7" w:rsidP="006B54D7">
      <w:pPr>
        <w:rPr>
          <w:b/>
        </w:rPr>
      </w:pPr>
    </w:p>
    <w:p w:rsidR="006B54D7" w:rsidRDefault="006B54D7" w:rsidP="006B54D7">
      <w:r>
        <w:t>Socialrådgiver fra Børn og familie og Ungeenheden er ansvarlig for, at tage denne drøftelse med den unge og forældremyndigheden, om den unge evt. har behov for værgemål.</w:t>
      </w:r>
    </w:p>
    <w:p w:rsidR="006B54D7" w:rsidRDefault="006B54D7" w:rsidP="006B54D7">
      <w:r>
        <w:t>Der kan søges om værgemål fire til otte uger før det fyldte 18 år.</w:t>
      </w:r>
    </w:p>
    <w:p w:rsidR="006B54D7" w:rsidRDefault="006B54D7" w:rsidP="006B54D7">
      <w:r>
        <w:t>Ved behov, er det Familieretshuset der træffer afgørelse om iværksættelse af et værgemål.</w:t>
      </w:r>
    </w:p>
    <w:p w:rsidR="006B54D7" w:rsidRDefault="006B54D7" w:rsidP="006B54D7"/>
    <w:p w:rsidR="006B54D7" w:rsidRDefault="006B54D7" w:rsidP="006B54D7">
      <w:r>
        <w:t>De tre forskellige værgemåls typer: (Værgemålsloven §5, §6, § 7)</w:t>
      </w:r>
    </w:p>
    <w:p w:rsidR="006B54D7" w:rsidRDefault="006B54D7" w:rsidP="006B54D7">
      <w:pPr>
        <w:pStyle w:val="Listeafsnit"/>
        <w:numPr>
          <w:ilvl w:val="0"/>
          <w:numId w:val="1"/>
        </w:numPr>
      </w:pPr>
      <w:r>
        <w:t>Personligt og økonomisk</w:t>
      </w:r>
    </w:p>
    <w:p w:rsidR="006B54D7" w:rsidRDefault="006B54D7" w:rsidP="006B54D7">
      <w:pPr>
        <w:pStyle w:val="Listeafsnit"/>
        <w:numPr>
          <w:ilvl w:val="0"/>
          <w:numId w:val="1"/>
        </w:numPr>
      </w:pPr>
      <w:r>
        <w:t>Fratagelse af retslige handleevne – kun økonomi</w:t>
      </w:r>
    </w:p>
    <w:p w:rsidR="006B54D7" w:rsidRDefault="006B54D7" w:rsidP="006B54D7">
      <w:pPr>
        <w:pStyle w:val="Listeafsnit"/>
        <w:numPr>
          <w:ilvl w:val="0"/>
          <w:numId w:val="1"/>
        </w:numPr>
      </w:pPr>
      <w:proofErr w:type="spellStart"/>
      <w:r>
        <w:t>Samværgemål</w:t>
      </w:r>
      <w:proofErr w:type="spellEnd"/>
    </w:p>
    <w:p w:rsidR="006B54D7" w:rsidRDefault="006B54D7" w:rsidP="006B54D7"/>
    <w:p w:rsidR="006B54D7" w:rsidRDefault="006B54D7" w:rsidP="006B54D7">
      <w:r>
        <w:t>Overvej følgende i samtalen med den unge:</w:t>
      </w:r>
    </w:p>
    <w:p w:rsidR="006B54D7" w:rsidRDefault="006B54D7" w:rsidP="006B54D7">
      <w:pPr>
        <w:pStyle w:val="Listeafsnit"/>
        <w:numPr>
          <w:ilvl w:val="0"/>
          <w:numId w:val="2"/>
        </w:numPr>
      </w:pPr>
      <w:r>
        <w:t>Er den unge i stand til at give et informeret samtykke, der forudsætter at den unge forstår hvad der er samtykket til og hvad konsekvenserne er.</w:t>
      </w:r>
    </w:p>
    <w:p w:rsidR="006B54D7" w:rsidRDefault="006B54D7" w:rsidP="006B54D7">
      <w:pPr>
        <w:pStyle w:val="Listeafsnit"/>
        <w:numPr>
          <w:ilvl w:val="0"/>
          <w:numId w:val="2"/>
        </w:numPr>
      </w:pPr>
      <w:r>
        <w:t>Er der behov for værgemål?</w:t>
      </w:r>
    </w:p>
    <w:p w:rsidR="00F0470A" w:rsidRDefault="006B54D7" w:rsidP="006B54D7">
      <w:r>
        <w:t>Vejledningen der skal gives til pårørende.</w:t>
      </w:r>
      <w:bookmarkStart w:id="1" w:name="_GoBack"/>
      <w:bookmarkEnd w:id="1"/>
    </w:p>
    <w:sectPr w:rsidR="00F047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28D7"/>
    <w:multiLevelType w:val="hybridMultilevel"/>
    <w:tmpl w:val="F28687FA"/>
    <w:lvl w:ilvl="0" w:tplc="6DBC66D2">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C34AD7"/>
    <w:multiLevelType w:val="hybridMultilevel"/>
    <w:tmpl w:val="2B50EE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D7"/>
    <w:rsid w:val="006B54D7"/>
    <w:rsid w:val="00F047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7AAC-7AC8-4834-A97D-5B46B4B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D7"/>
    <w:pPr>
      <w:spacing w:after="0" w:line="260" w:lineRule="atLeast"/>
    </w:pPr>
    <w:rPr>
      <w:rFonts w:ascii="Georgia" w:hAnsi="Georgia"/>
    </w:rPr>
  </w:style>
  <w:style w:type="paragraph" w:styleId="Overskrift1">
    <w:name w:val="heading 1"/>
    <w:basedOn w:val="Normal"/>
    <w:next w:val="Normal"/>
    <w:link w:val="Overskrift1Tegn"/>
    <w:uiPriority w:val="9"/>
    <w:qFormat/>
    <w:rsid w:val="006B54D7"/>
    <w:pPr>
      <w:keepNext/>
      <w:keepLines/>
      <w:spacing w:before="240" w:after="240"/>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54D7"/>
    <w:rPr>
      <w:rFonts w:ascii="Georgia" w:eastAsiaTheme="majorEastAsia" w:hAnsi="Georgia" w:cstheme="majorBidi"/>
      <w:b/>
      <w:bCs/>
      <w:szCs w:val="28"/>
    </w:rPr>
  </w:style>
  <w:style w:type="paragraph" w:styleId="Listeafsnit">
    <w:name w:val="List Paragraph"/>
    <w:basedOn w:val="Normal"/>
    <w:uiPriority w:val="34"/>
    <w:qFormat/>
    <w:rsid w:val="006B54D7"/>
    <w:pPr>
      <w:ind w:left="720"/>
      <w:contextualSpacing/>
    </w:pPr>
  </w:style>
  <w:style w:type="paragraph" w:styleId="NormalWeb">
    <w:name w:val="Normal (Web)"/>
    <w:basedOn w:val="Normal"/>
    <w:uiPriority w:val="99"/>
    <w:unhideWhenUsed/>
    <w:rsid w:val="006B54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Pilegaard</dc:creator>
  <cp:keywords/>
  <dc:description/>
  <cp:lastModifiedBy>Jesper Pilegaard</cp:lastModifiedBy>
  <cp:revision>1</cp:revision>
  <dcterms:created xsi:type="dcterms:W3CDTF">2022-06-21T08:40:00Z</dcterms:created>
  <dcterms:modified xsi:type="dcterms:W3CDTF">2022-06-21T08:41:00Z</dcterms:modified>
</cp:coreProperties>
</file>